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84" w:right="0" w:firstLine="0"/>
        <w:rPr>
          <w:sz w:val="20"/>
        </w:rPr>
      </w:pPr>
      <w:r>
        <w:rPr/>
        <w:pict>
          <v:group style="position:absolute;margin-left:72.024002pt;margin-top:71.279999pt;width:468.1pt;height:635.9pt;mso-position-horizontal-relative:page;mso-position-vertical-relative:page;z-index:-251803648" coordorigin="1440,1426" coordsize="9362,12718">
            <v:line style="position:absolute" from="1450,1430" to="10792,1430" stroked="true" strokeweight=".48pt" strokecolor="#000000">
              <v:stroke dashstyle="solid"/>
            </v:line>
            <v:line style="position:absolute" from="1445,1426" to="1445,14133" stroked="true" strokeweight=".48pt" strokecolor="#000000">
              <v:stroke dashstyle="solid"/>
            </v:line>
            <v:rect style="position:absolute;left:1440;top:14133;width:10;height:10" filled="true" fillcolor="#000000" stroked="false">
              <v:fill type="solid"/>
            </v:rect>
            <v:line style="position:absolute" from="1450,14138" to="10792,14138" stroked="true" strokeweight=".47998pt" strokecolor="#000000">
              <v:stroke dashstyle="solid"/>
            </v:line>
            <v:line style="position:absolute" from="10797,1426" to="10797,14133" stroked="true" strokeweight=".47998pt" strokecolor="#000000">
              <v:stroke dashstyle="solid"/>
            </v:line>
            <v:rect style="position:absolute;left:10792;top:14133;width:10;height:10" filled="true" fillcolor="#000000" stroked="false">
              <v:fill type="solid"/>
            </v:rect>
            <w10:wrap type="none"/>
          </v:group>
        </w:pict>
      </w:r>
      <w:r>
        <w:rPr>
          <w:sz w:val="20"/>
        </w:rPr>
        <w:pict>
          <v:shape style="width:459.7pt;height:37.6pt;mso-position-horizontal-relative:char;mso-position-vertical-relative:line" type="#_x0000_t202" filled="true" fillcolor="#fceada" stroked="false">
            <w10:anchorlock/>
            <v:textbox inset="0,0,0,0">
              <w:txbxContent>
                <w:p>
                  <w:pPr>
                    <w:spacing w:line="273" w:lineRule="exact" w:before="0"/>
                    <w:ind w:left="241" w:right="246" w:firstLine="0"/>
                    <w:jc w:val="center"/>
                    <w:rPr>
                      <w:b/>
                      <w:sz w:val="24"/>
                    </w:rPr>
                  </w:pPr>
                  <w:r>
                    <w:rPr>
                      <w:b/>
                      <w:sz w:val="24"/>
                    </w:rPr>
                    <w:t>Formular per paraqitje/dorëzim të komenteve dhe sugjerimeve për projektin</w:t>
                  </w:r>
                </w:p>
                <w:p>
                  <w:pPr>
                    <w:spacing w:before="2"/>
                    <w:ind w:left="306" w:right="246" w:firstLine="0"/>
                    <w:jc w:val="center"/>
                    <w:rPr>
                      <w:b/>
                      <w:sz w:val="24"/>
                    </w:rPr>
                  </w:pPr>
                  <w:r>
                    <w:rPr>
                      <w:b/>
                      <w:sz w:val="24"/>
                    </w:rPr>
                    <w:t>„ LUAJ DHE MËSO PËR RAJONIN E TIKVESHIT NË RESTORANTIN STOBI”</w:t>
                  </w:r>
                </w:p>
              </w:txbxContent>
            </v:textbox>
            <v:fill type="solid"/>
          </v:shape>
        </w:pict>
      </w:r>
      <w:r>
        <w:rPr>
          <w:sz w:val="20"/>
        </w:rPr>
      </w:r>
    </w:p>
    <w:p>
      <w:pPr>
        <w:spacing w:line="255" w:lineRule="exact" w:before="0"/>
        <w:ind w:left="801" w:right="0" w:firstLine="0"/>
        <w:jc w:val="both"/>
        <w:rPr>
          <w:b/>
          <w:sz w:val="24"/>
        </w:rPr>
      </w:pPr>
      <w:r>
        <w:rPr>
          <w:sz w:val="24"/>
        </w:rPr>
        <w:t>Restoran Stobi ne kuader te </w:t>
      </w:r>
      <w:r>
        <w:rPr>
          <w:b/>
          <w:sz w:val="24"/>
        </w:rPr>
        <w:t>„Projektit për konkurim lokal dhe rajonal“ i përkrahur</w:t>
      </w:r>
    </w:p>
    <w:p>
      <w:pPr>
        <w:spacing w:line="240" w:lineRule="auto" w:before="5"/>
        <w:ind w:left="213" w:right="229" w:firstLine="0"/>
        <w:jc w:val="both"/>
        <w:rPr>
          <w:sz w:val="24"/>
        </w:rPr>
      </w:pPr>
      <w:r>
        <w:rPr>
          <w:b/>
          <w:sz w:val="24"/>
        </w:rPr>
        <w:t>nga ana e UE-n, i administruar nga Banka Botërore dhe realizuar nga KZKQACE (Kabineti i zevendeskryeministrit te qeveris i angazhuar per ceshtje ekonomike)</w:t>
      </w:r>
      <w:r>
        <w:rPr>
          <w:sz w:val="24"/>
        </w:rPr>
        <w:t>, komponenti projektues „Investime në infrastrukturën turistike dhe ndërlidhje në destinacione“ përgaditi projektin </w:t>
      </w:r>
      <w:r>
        <w:rPr>
          <w:b/>
          <w:sz w:val="24"/>
        </w:rPr>
        <w:t>„LUAJ DHE MËSO PËR RAJONIN E TIKVESHIT NË RESTORANTIN STOBI” </w:t>
      </w:r>
      <w:r>
        <w:rPr>
          <w:sz w:val="24"/>
        </w:rPr>
        <w:t>si dhe parashtroi kërkesë për marrjen e një granti për finansim të projektit.</w:t>
      </w:r>
    </w:p>
    <w:p>
      <w:pPr>
        <w:spacing w:line="240" w:lineRule="auto" w:before="10"/>
        <w:rPr>
          <w:sz w:val="21"/>
        </w:rPr>
      </w:pPr>
    </w:p>
    <w:p>
      <w:pPr>
        <w:spacing w:line="276" w:lineRule="auto" w:before="0"/>
        <w:ind w:left="242" w:right="955" w:firstLine="391"/>
        <w:jc w:val="both"/>
        <w:rPr>
          <w:sz w:val="24"/>
        </w:rPr>
      </w:pPr>
      <w:r>
        <w:rPr>
          <w:b/>
          <w:sz w:val="24"/>
        </w:rPr>
        <w:t>Qëllimi i projektit</w:t>
      </w:r>
      <w:r>
        <w:rPr>
          <w:sz w:val="24"/>
        </w:rPr>
        <w:t>,, </w:t>
      </w:r>
      <w:r>
        <w:rPr>
          <w:b/>
          <w:sz w:val="24"/>
        </w:rPr>
        <w:t>LUAJ DHE MËSO PËR RAJONIN E TIKVESHIT NË RESTORANTIN STOBI” </w:t>
      </w:r>
      <w:r>
        <w:rPr>
          <w:sz w:val="24"/>
        </w:rPr>
        <w:t>ësthë rritja e ofertës së Restorant STOBI të ofruara në sektorin e turizmit. Ky project ka për qëllim dhe ofrimi i shërbimeve cilësore mbrenda kërkesave të grupeve të synuara të turistëve.</w:t>
      </w:r>
    </w:p>
    <w:p>
      <w:pPr>
        <w:spacing w:line="240" w:lineRule="auto" w:before="3"/>
        <w:rPr>
          <w:sz w:val="34"/>
        </w:rPr>
      </w:pPr>
    </w:p>
    <w:p>
      <w:pPr>
        <w:pStyle w:val="BodyText"/>
        <w:spacing w:before="1"/>
        <w:ind w:left="213" w:right="227" w:firstLine="587"/>
        <w:jc w:val="both"/>
      </w:pPr>
      <w:r>
        <w:rPr/>
        <w:t>Restoran</w:t>
      </w:r>
      <w:r>
        <w:rPr>
          <w:spacing w:val="-11"/>
        </w:rPr>
        <w:t> </w:t>
      </w:r>
      <w:r>
        <w:rPr/>
        <w:t>Stobi</w:t>
      </w:r>
      <w:r>
        <w:rPr>
          <w:spacing w:val="-10"/>
        </w:rPr>
        <w:t> </w:t>
      </w:r>
      <w:r>
        <w:rPr/>
        <w:t>në</w:t>
      </w:r>
      <w:r>
        <w:rPr>
          <w:spacing w:val="-11"/>
        </w:rPr>
        <w:t> </w:t>
      </w:r>
      <w:r>
        <w:rPr/>
        <w:t>kuadër</w:t>
      </w:r>
      <w:r>
        <w:rPr>
          <w:spacing w:val="-9"/>
        </w:rPr>
        <w:t> </w:t>
      </w:r>
      <w:r>
        <w:rPr/>
        <w:t>të</w:t>
      </w:r>
      <w:r>
        <w:rPr>
          <w:spacing w:val="-11"/>
        </w:rPr>
        <w:t> </w:t>
      </w:r>
      <w:r>
        <w:rPr/>
        <w:t>kërkesës,</w:t>
      </w:r>
      <w:r>
        <w:rPr>
          <w:spacing w:val="-11"/>
        </w:rPr>
        <w:t> </w:t>
      </w:r>
      <w:r>
        <w:rPr/>
        <w:t>përgaditi</w:t>
      </w:r>
      <w:r>
        <w:rPr>
          <w:spacing w:val="-7"/>
        </w:rPr>
        <w:t> </w:t>
      </w:r>
      <w:r>
        <w:rPr/>
        <w:t>Listë</w:t>
      </w:r>
      <w:r>
        <w:rPr>
          <w:spacing w:val="-12"/>
        </w:rPr>
        <w:t> </w:t>
      </w:r>
      <w:r>
        <w:rPr/>
        <w:t>për</w:t>
      </w:r>
      <w:r>
        <w:rPr>
          <w:spacing w:val="-12"/>
        </w:rPr>
        <w:t> </w:t>
      </w:r>
      <w:r>
        <w:rPr/>
        <w:t>verifikim</w:t>
      </w:r>
      <w:r>
        <w:rPr>
          <w:spacing w:val="-10"/>
        </w:rPr>
        <w:t> </w:t>
      </w:r>
      <w:r>
        <w:rPr/>
        <w:t>të</w:t>
      </w:r>
      <w:r>
        <w:rPr>
          <w:spacing w:val="-11"/>
        </w:rPr>
        <w:t> </w:t>
      </w:r>
      <w:r>
        <w:rPr/>
        <w:t>Planit</w:t>
      </w:r>
      <w:r>
        <w:rPr>
          <w:spacing w:val="-11"/>
        </w:rPr>
        <w:t> </w:t>
      </w:r>
      <w:r>
        <w:rPr/>
        <w:t>për</w:t>
      </w:r>
      <w:r>
        <w:rPr>
          <w:spacing w:val="-11"/>
        </w:rPr>
        <w:t> </w:t>
      </w:r>
      <w:r>
        <w:rPr/>
        <w:t>menaxhim me</w:t>
      </w:r>
      <w:r>
        <w:rPr>
          <w:spacing w:val="-10"/>
        </w:rPr>
        <w:t> </w:t>
      </w:r>
      <w:r>
        <w:rPr/>
        <w:t>ambientin</w:t>
      </w:r>
      <w:r>
        <w:rPr>
          <w:spacing w:val="-10"/>
        </w:rPr>
        <w:t> </w:t>
      </w:r>
      <w:r>
        <w:rPr/>
        <w:t>jetësor</w:t>
      </w:r>
      <w:r>
        <w:rPr>
          <w:spacing w:val="-10"/>
        </w:rPr>
        <w:t> </w:t>
      </w:r>
      <w:r>
        <w:rPr/>
        <w:t>për</w:t>
      </w:r>
      <w:r>
        <w:rPr>
          <w:spacing w:val="-7"/>
        </w:rPr>
        <w:t> </w:t>
      </w:r>
      <w:r>
        <w:rPr/>
        <w:t>projektin</w:t>
      </w:r>
      <w:r>
        <w:rPr>
          <w:spacing w:val="-8"/>
        </w:rPr>
        <w:t> </w:t>
      </w:r>
      <w:r>
        <w:rPr>
          <w:b/>
        </w:rPr>
        <w:t>„</w:t>
      </w:r>
      <w:r>
        <w:rPr>
          <w:b/>
          <w:spacing w:val="-10"/>
        </w:rPr>
        <w:t> </w:t>
      </w:r>
      <w:r>
        <w:rPr>
          <w:b/>
        </w:rPr>
        <w:t>LUAJ</w:t>
      </w:r>
      <w:r>
        <w:rPr>
          <w:b/>
          <w:spacing w:val="-9"/>
        </w:rPr>
        <w:t> </w:t>
      </w:r>
      <w:r>
        <w:rPr>
          <w:b/>
        </w:rPr>
        <w:t>DHE</w:t>
      </w:r>
      <w:r>
        <w:rPr>
          <w:b/>
          <w:spacing w:val="-12"/>
        </w:rPr>
        <w:t> </w:t>
      </w:r>
      <w:r>
        <w:rPr>
          <w:b/>
        </w:rPr>
        <w:t>MËSO</w:t>
      </w:r>
      <w:r>
        <w:rPr>
          <w:b/>
          <w:spacing w:val="-9"/>
        </w:rPr>
        <w:t> </w:t>
      </w:r>
      <w:r>
        <w:rPr>
          <w:b/>
        </w:rPr>
        <w:t>PËR</w:t>
      </w:r>
      <w:r>
        <w:rPr>
          <w:b/>
          <w:spacing w:val="-9"/>
        </w:rPr>
        <w:t> </w:t>
      </w:r>
      <w:r>
        <w:rPr>
          <w:b/>
        </w:rPr>
        <w:t>RAJONIN</w:t>
      </w:r>
      <w:r>
        <w:rPr>
          <w:b/>
          <w:spacing w:val="-8"/>
        </w:rPr>
        <w:t> </w:t>
      </w:r>
      <w:r>
        <w:rPr>
          <w:b/>
        </w:rPr>
        <w:t>E</w:t>
      </w:r>
      <w:r>
        <w:rPr>
          <w:b/>
          <w:spacing w:val="-9"/>
        </w:rPr>
        <w:t> </w:t>
      </w:r>
      <w:r>
        <w:rPr>
          <w:b/>
        </w:rPr>
        <w:t>TIKVESHIT</w:t>
      </w:r>
      <w:r>
        <w:rPr>
          <w:b/>
          <w:spacing w:val="-8"/>
        </w:rPr>
        <w:t> </w:t>
      </w:r>
      <w:r>
        <w:rPr>
          <w:b/>
        </w:rPr>
        <w:t>NË RESTORANTIN STOBI” me </w:t>
      </w:r>
      <w:r>
        <w:rPr/>
        <w:t>qëllim që në kohë të identifikohen dhe vlerësohen ndikimet potenciale ndaj ambientit jetësor të aktiviteteve të projektit. Plani përmban edhe masa për parandalim, minimizim dhe lehtësim të ndikimeve të mundshme negative nga realizimi i aktiviteteve të parapara të</w:t>
      </w:r>
      <w:r>
        <w:rPr>
          <w:spacing w:val="-5"/>
        </w:rPr>
        <w:t> </w:t>
      </w:r>
      <w:r>
        <w:rPr/>
        <w:t>projektit.</w:t>
      </w:r>
    </w:p>
    <w:p>
      <w:pPr>
        <w:spacing w:line="240" w:lineRule="auto" w:before="9"/>
        <w:rPr>
          <w:sz w:val="34"/>
        </w:rPr>
      </w:pPr>
    </w:p>
    <w:p>
      <w:pPr>
        <w:pStyle w:val="Heading1"/>
        <w:ind w:right="239"/>
        <w:jc w:val="both"/>
      </w:pPr>
      <w:r>
        <w:rPr/>
        <w:t>Verzioni elektronik i Planit për menaxhim me ambientin jetësor për projektin është në dispozicion në:</w:t>
      </w:r>
    </w:p>
    <w:p>
      <w:pPr>
        <w:spacing w:line="240" w:lineRule="auto" w:before="1"/>
        <w:rPr>
          <w:b/>
          <w:sz w:val="34"/>
        </w:rPr>
      </w:pPr>
    </w:p>
    <w:p>
      <w:pPr>
        <w:pStyle w:val="BodyText"/>
        <w:ind w:left="520"/>
      </w:pPr>
      <w:r>
        <w:rPr/>
        <w:t>Zyrën e projekteve</w:t>
      </w:r>
      <w:r>
        <w:rPr>
          <w:spacing w:val="57"/>
        </w:rPr>
        <w:t> </w:t>
      </w:r>
      <w:hyperlink r:id="rId6">
        <w:r>
          <w:rPr>
            <w:color w:val="0000FF"/>
            <w:u w:val="single" w:color="0000FF"/>
          </w:rPr>
          <w:t>www.lrcp.mk</w:t>
        </w:r>
      </w:hyperlink>
    </w:p>
    <w:p>
      <w:pPr>
        <w:pStyle w:val="BodyText"/>
        <w:spacing w:line="279" w:lineRule="exact" w:before="3"/>
        <w:ind w:left="520"/>
        <w:rPr>
          <w:rFonts w:ascii="Cambria"/>
        </w:rPr>
      </w:pPr>
      <w:r>
        <w:rPr/>
        <w:t>Restoran Stobi </w:t>
      </w:r>
      <w:hyperlink r:id="rId7">
        <w:r>
          <w:rPr>
            <w:rFonts w:ascii="Cambria"/>
            <w:color w:val="0000FF"/>
            <w:u w:val="single" w:color="0000FF"/>
          </w:rPr>
          <w:t>http://stobiwinery.mk/restaurant.nspx</w:t>
        </w:r>
      </w:hyperlink>
    </w:p>
    <w:p>
      <w:pPr>
        <w:pStyle w:val="BodyText"/>
        <w:tabs>
          <w:tab w:pos="2113" w:val="left" w:leader="none"/>
          <w:tab w:pos="2825" w:val="left" w:leader="none"/>
          <w:tab w:pos="4234" w:val="left" w:leader="none"/>
          <w:tab w:pos="4987" w:val="left" w:leader="none"/>
          <w:tab w:pos="6297" w:val="left" w:leader="none"/>
          <w:tab w:pos="6878" w:val="left" w:leader="none"/>
          <w:tab w:pos="8046" w:val="left" w:leader="none"/>
          <w:tab w:pos="8626" w:val="left" w:leader="none"/>
        </w:tabs>
        <w:ind w:left="213" w:right="228" w:firstLine="307"/>
      </w:pPr>
      <w:r>
        <w:rPr/>
        <w:t>Agjencionin</w:t>
        <w:tab/>
        <w:t>për</w:t>
        <w:tab/>
        <w:t>promovim</w:t>
        <w:tab/>
        <w:t>dhe</w:t>
        <w:tab/>
        <w:t>përkrahje</w:t>
        <w:tab/>
        <w:t>të</w:t>
        <w:tab/>
        <w:t>turizmit</w:t>
        <w:tab/>
        <w:t>të</w:t>
        <w:tab/>
      </w:r>
      <w:r>
        <w:rPr>
          <w:spacing w:val="-3"/>
        </w:rPr>
        <w:t>RM-së: </w:t>
      </w:r>
      <w:hyperlink r:id="rId8">
        <w:r>
          <w:rPr>
            <w:color w:val="0000FF"/>
            <w:u w:val="single" w:color="0000FF"/>
          </w:rPr>
          <w:t>www.tourismmacedonia.gov.mk</w:t>
        </w:r>
      </w:hyperlink>
    </w:p>
    <w:p>
      <w:pPr>
        <w:spacing w:line="240" w:lineRule="auto" w:before="8"/>
        <w:rPr>
          <w:sz w:val="21"/>
        </w:rPr>
      </w:pPr>
    </w:p>
    <w:p>
      <w:pPr>
        <w:pStyle w:val="Heading1"/>
        <w:spacing w:before="90"/>
        <w:ind w:right="0"/>
        <w:jc w:val="left"/>
      </w:pPr>
      <w:r>
        <w:rPr/>
        <w:t>Verzioni i shtypur i Planit për menaxhim me ambientin jetësor për projektin është në dispozicion në lokacionet e mëposhtme:</w:t>
      </w:r>
    </w:p>
    <w:p>
      <w:pPr>
        <w:pStyle w:val="ListParagraph"/>
        <w:numPr>
          <w:ilvl w:val="0"/>
          <w:numId w:val="1"/>
        </w:numPr>
        <w:tabs>
          <w:tab w:pos="1282" w:val="left" w:leader="none"/>
        </w:tabs>
        <w:spacing w:line="240" w:lineRule="auto" w:before="55" w:after="0"/>
        <w:ind w:left="1281" w:right="0" w:hanging="361"/>
        <w:jc w:val="left"/>
        <w:rPr>
          <w:sz w:val="24"/>
        </w:rPr>
      </w:pPr>
      <w:r>
        <w:rPr>
          <w:sz w:val="24"/>
        </w:rPr>
        <w:t>Njësia për zbatim të projektit</w:t>
      </w:r>
      <w:r>
        <w:rPr>
          <w:spacing w:val="-3"/>
          <w:sz w:val="24"/>
        </w:rPr>
        <w:t> </w:t>
      </w:r>
      <w:r>
        <w:rPr>
          <w:sz w:val="24"/>
        </w:rPr>
        <w:t>(NJZP)</w:t>
      </w:r>
    </w:p>
    <w:p>
      <w:pPr>
        <w:pStyle w:val="BodyText"/>
        <w:ind w:left="1281" w:right="3400"/>
      </w:pPr>
      <w:r>
        <w:rPr/>
        <w:t>Projekt për konkurim lokal dhe rajonal (PKLR) Adresa: rr. Gjuro Gjakoviq nr. 60/1, Shkup Telefon: 02 32 53 818</w:t>
      </w:r>
    </w:p>
    <w:p>
      <w:pPr>
        <w:pStyle w:val="BodyText"/>
        <w:spacing w:before="1"/>
        <w:ind w:left="1281" w:right="3400"/>
      </w:pPr>
      <w:r>
        <w:rPr/>
        <w:t>Ekspert për ambientin jetësor: Ljubomir Petkovski e-mail: </w:t>
      </w:r>
      <w:hyperlink r:id="rId9">
        <w:r>
          <w:rPr>
            <w:color w:val="0000FF"/>
            <w:u w:val="single" w:color="0000FF"/>
          </w:rPr>
          <w:t>ljubomir.petkovski@lrcp.org.mk</w:t>
        </w:r>
      </w:hyperlink>
    </w:p>
    <w:p>
      <w:pPr>
        <w:pStyle w:val="ListParagraph"/>
        <w:numPr>
          <w:ilvl w:val="0"/>
          <w:numId w:val="1"/>
        </w:numPr>
        <w:tabs>
          <w:tab w:pos="1282" w:val="left" w:leader="none"/>
        </w:tabs>
        <w:spacing w:line="240" w:lineRule="auto" w:before="0" w:after="0"/>
        <w:ind w:left="1281" w:right="0" w:hanging="361"/>
        <w:jc w:val="left"/>
        <w:rPr>
          <w:sz w:val="24"/>
        </w:rPr>
      </w:pPr>
      <w:r>
        <w:rPr>
          <w:sz w:val="24"/>
        </w:rPr>
        <w:t>Restoran</w:t>
      </w:r>
      <w:r>
        <w:rPr>
          <w:spacing w:val="-1"/>
          <w:sz w:val="24"/>
        </w:rPr>
        <w:t> </w:t>
      </w:r>
      <w:r>
        <w:rPr>
          <w:sz w:val="24"/>
        </w:rPr>
        <w:t>Stobi</w:t>
      </w:r>
    </w:p>
    <w:p>
      <w:pPr>
        <w:spacing w:before="0"/>
        <w:ind w:left="1281" w:right="0" w:firstLine="0"/>
        <w:jc w:val="left"/>
        <w:rPr>
          <w:rFonts w:ascii="Arial" w:hAnsi="Arial"/>
          <w:sz w:val="20"/>
        </w:rPr>
      </w:pPr>
      <w:r>
        <w:rPr>
          <w:sz w:val="24"/>
        </w:rPr>
        <w:t>Adresa: </w:t>
      </w:r>
      <w:r>
        <w:rPr>
          <w:rFonts w:ascii="Arial" w:hAnsi="Arial"/>
          <w:sz w:val="20"/>
        </w:rPr>
        <w:t>“Marshal Tito” 2a, Gradsko</w:t>
      </w:r>
    </w:p>
    <w:p>
      <w:pPr>
        <w:spacing w:before="0"/>
        <w:ind w:left="1281" w:right="0" w:firstLine="0"/>
        <w:jc w:val="left"/>
        <w:rPr>
          <w:rFonts w:ascii="Cambria"/>
          <w:sz w:val="22"/>
        </w:rPr>
      </w:pPr>
      <w:r>
        <w:rPr>
          <w:sz w:val="24"/>
        </w:rPr>
        <w:t>Telefon: </w:t>
      </w:r>
      <w:r>
        <w:rPr>
          <w:rFonts w:ascii="Cambria"/>
          <w:sz w:val="22"/>
        </w:rPr>
        <w:t>043/215-800/ 078/465-251</w:t>
      </w:r>
    </w:p>
    <w:p>
      <w:pPr>
        <w:spacing w:before="0"/>
        <w:ind w:left="1353" w:right="3142" w:hanging="72"/>
        <w:jc w:val="left"/>
        <w:rPr>
          <w:rFonts w:ascii="Cambria" w:hAnsi="Cambria"/>
          <w:sz w:val="22"/>
        </w:rPr>
      </w:pPr>
      <w:r>
        <w:rPr>
          <w:sz w:val="24"/>
        </w:rPr>
        <w:t>Personi përgjegjës: </w:t>
      </w:r>
      <w:r>
        <w:rPr>
          <w:rFonts w:ascii="Cambria" w:hAnsi="Cambria"/>
          <w:sz w:val="22"/>
        </w:rPr>
        <w:t>Ilija Gjorgiev</w:t>
      </w:r>
      <w:r>
        <w:rPr>
          <w:sz w:val="24"/>
        </w:rPr>
        <w:t>, menaxher i projektit e-mail: </w:t>
      </w:r>
      <w:hyperlink r:id="rId10">
        <w:r>
          <w:rPr>
            <w:rFonts w:ascii="Cambria" w:hAnsi="Cambria"/>
            <w:color w:val="0000FF"/>
            <w:sz w:val="22"/>
            <w:u w:val="single" w:color="0000FF"/>
          </w:rPr>
          <w:t>ilija.gjorgiev@beton.com.mk</w:t>
        </w:r>
      </w:hyperlink>
    </w:p>
    <w:p>
      <w:pPr>
        <w:spacing w:after="0"/>
        <w:jc w:val="left"/>
        <w:rPr>
          <w:rFonts w:ascii="Cambria" w:hAnsi="Cambria"/>
          <w:sz w:val="22"/>
        </w:rPr>
        <w:sectPr>
          <w:footerReference w:type="default" r:id="rId5"/>
          <w:type w:val="continuous"/>
          <w:pgSz w:w="12240" w:h="15840"/>
          <w:pgMar w:footer="732" w:top="1420" w:bottom="920" w:left="1340" w:right="1320"/>
          <w:pgNumType w:start="1"/>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3"/>
        <w:gridCol w:w="1918"/>
        <w:gridCol w:w="4792"/>
      </w:tblGrid>
      <w:tr>
        <w:trPr>
          <w:trHeight w:val="4133" w:hRule="atLeast"/>
        </w:trPr>
        <w:tc>
          <w:tcPr>
            <w:tcW w:w="9353" w:type="dxa"/>
            <w:gridSpan w:val="3"/>
          </w:tcPr>
          <w:p>
            <w:pPr>
              <w:pStyle w:val="TableParagraph"/>
              <w:spacing w:before="10"/>
              <w:ind w:left="0"/>
              <w:rPr>
                <w:rFonts w:ascii="Cambria"/>
                <w:sz w:val="22"/>
              </w:rPr>
            </w:pPr>
          </w:p>
          <w:p>
            <w:pPr>
              <w:pStyle w:val="TableParagraph"/>
              <w:ind w:right="104" w:firstLine="587"/>
              <w:jc w:val="both"/>
              <w:rPr>
                <w:b/>
                <w:sz w:val="24"/>
              </w:rPr>
            </w:pPr>
            <w:r>
              <w:rPr>
                <w:b/>
                <w:sz w:val="24"/>
              </w:rPr>
              <w:t>Ju lutemi në rast se keni ndonjë koment/sugjerim ose plotësim për masat e propozuara nga Lista për verifikim të Planit për menaxhim me ambientin jetësor, të njëjtat paraqitni tek personat përgjegjës të kësaj liste në një periudhë kohore prej 14 ditësh pas ditës së publikimit të Listës për verfikim të Planit për menaxhim me</w:t>
            </w:r>
            <w:r>
              <w:rPr>
                <w:b/>
                <w:spacing w:val="-42"/>
                <w:sz w:val="24"/>
              </w:rPr>
              <w:t> </w:t>
            </w:r>
            <w:r>
              <w:rPr>
                <w:b/>
                <w:sz w:val="24"/>
              </w:rPr>
              <w:t>ambientin jetësor</w:t>
            </w:r>
          </w:p>
          <w:p>
            <w:pPr>
              <w:pStyle w:val="TableParagraph"/>
              <w:tabs>
                <w:tab w:pos="6598" w:val="left" w:leader="none"/>
              </w:tabs>
              <w:ind w:left="3199"/>
              <w:jc w:val="both"/>
              <w:rPr>
                <w:b/>
                <w:sz w:val="24"/>
              </w:rPr>
            </w:pPr>
            <w:r>
              <w:rPr>
                <w:b/>
                <w:sz w:val="24"/>
              </w:rPr>
              <w:t>(Data</w:t>
            </w:r>
            <w:r>
              <w:rPr>
                <w:b/>
                <w:spacing w:val="-2"/>
                <w:sz w:val="24"/>
              </w:rPr>
              <w:t> </w:t>
            </w:r>
            <w:r>
              <w:rPr>
                <w:b/>
                <w:sz w:val="24"/>
              </w:rPr>
              <w:t>e</w:t>
            </w:r>
            <w:r>
              <w:rPr>
                <w:b/>
                <w:spacing w:val="-3"/>
                <w:sz w:val="24"/>
              </w:rPr>
              <w:t> </w:t>
            </w:r>
            <w:r>
              <w:rPr>
                <w:b/>
                <w:sz w:val="24"/>
              </w:rPr>
              <w:t>publikimit:</w:t>
            </w:r>
            <w:r>
              <w:rPr>
                <w:b/>
                <w:sz w:val="24"/>
                <w:u w:val="single"/>
              </w:rPr>
              <w:t> </w:t>
              <w:tab/>
            </w:r>
            <w:r>
              <w:rPr>
                <w:b/>
                <w:sz w:val="24"/>
              </w:rPr>
              <w:t>).</w:t>
            </w:r>
          </w:p>
          <w:p>
            <w:pPr>
              <w:pStyle w:val="TableParagraph"/>
              <w:ind w:right="101" w:firstLine="719"/>
              <w:jc w:val="both"/>
              <w:rPr>
                <w:b/>
                <w:sz w:val="24"/>
              </w:rPr>
            </w:pPr>
            <w:r>
              <w:rPr>
                <w:b/>
                <w:sz w:val="24"/>
              </w:rPr>
              <w:t>Ju lutemi që komentet Tuaja për përmirësim të Listës për verifikim të Planit për menaxhim me ambientin jetësor për projektin „ LUAJ DHE MËSO PËR RAJONIN E TIKVESHIT NË RESTORANTIN STOBI”ti paraqisni apo dorëzoni në adresat e dhëna elektronike ose në zyrat e Restoran Stobi së dhe/ose Projektit për konkurim lokal dhe rajonal.</w:t>
            </w:r>
          </w:p>
          <w:p>
            <w:pPr>
              <w:pStyle w:val="TableParagraph"/>
              <w:ind w:left="695"/>
              <w:jc w:val="both"/>
              <w:rPr>
                <w:b/>
                <w:sz w:val="24"/>
              </w:rPr>
            </w:pPr>
            <w:r>
              <w:rPr>
                <w:b/>
                <w:sz w:val="24"/>
              </w:rPr>
              <w:t>Paraprakisht ju falenderojmë.</w:t>
            </w:r>
          </w:p>
        </w:tc>
      </w:tr>
      <w:tr>
        <w:trPr>
          <w:trHeight w:val="537" w:hRule="atLeast"/>
        </w:trPr>
        <w:tc>
          <w:tcPr>
            <w:tcW w:w="9353" w:type="dxa"/>
            <w:gridSpan w:val="3"/>
          </w:tcPr>
          <w:p>
            <w:pPr>
              <w:pStyle w:val="TableParagraph"/>
              <w:tabs>
                <w:tab w:pos="5165" w:val="left" w:leader="none"/>
              </w:tabs>
              <w:spacing w:line="259" w:lineRule="exact"/>
              <w:rPr>
                <w:sz w:val="22"/>
              </w:rPr>
            </w:pPr>
            <w:r>
              <w:rPr>
                <w:rFonts w:ascii="Calibri" w:hAnsi="Calibri"/>
                <w:b/>
                <w:sz w:val="22"/>
              </w:rPr>
              <w:t>Референтен</w:t>
            </w:r>
            <w:r>
              <w:rPr>
                <w:rFonts w:ascii="Calibri" w:hAnsi="Calibri"/>
                <w:b/>
                <w:spacing w:val="-8"/>
                <w:sz w:val="22"/>
              </w:rPr>
              <w:t> </w:t>
            </w:r>
            <w:r>
              <w:rPr>
                <w:rFonts w:ascii="Calibri" w:hAnsi="Calibri"/>
                <w:b/>
                <w:sz w:val="22"/>
              </w:rPr>
              <w:t>број:</w:t>
            </w:r>
            <w:r>
              <w:rPr>
                <w:rFonts w:ascii="Calibri" w:hAnsi="Calibri"/>
                <w:b/>
                <w:spacing w:val="-1"/>
                <w:sz w:val="22"/>
              </w:rPr>
              <w:t> </w:t>
            </w:r>
            <w:r>
              <w:rPr>
                <w:w w:val="100"/>
                <w:sz w:val="22"/>
                <w:u w:val="thick"/>
              </w:rPr>
              <w:t> </w:t>
            </w:r>
            <w:r>
              <w:rPr>
                <w:sz w:val="22"/>
                <w:u w:val="thick"/>
              </w:rPr>
              <w:tab/>
            </w:r>
          </w:p>
          <w:p>
            <w:pPr>
              <w:pStyle w:val="TableParagraph"/>
              <w:spacing w:line="258" w:lineRule="exact"/>
              <w:rPr>
                <w:rFonts w:ascii="Calibri" w:hAnsi="Calibri"/>
                <w:sz w:val="22"/>
              </w:rPr>
            </w:pPr>
            <w:r>
              <w:rPr>
                <w:rFonts w:ascii="Calibri" w:hAnsi="Calibri"/>
                <w:sz w:val="22"/>
              </w:rPr>
              <w:t>(се потполнува од страна на проектот)</w:t>
            </w:r>
          </w:p>
        </w:tc>
      </w:tr>
      <w:tr>
        <w:trPr>
          <w:trHeight w:val="662" w:hRule="atLeast"/>
        </w:trPr>
        <w:tc>
          <w:tcPr>
            <w:tcW w:w="2643" w:type="dxa"/>
            <w:shd w:val="clear" w:color="auto" w:fill="F1F1F1"/>
          </w:tcPr>
          <w:p>
            <w:pPr>
              <w:pStyle w:val="TableParagraph"/>
              <w:spacing w:line="287" w:lineRule="exact"/>
              <w:rPr>
                <w:rFonts w:ascii="Calibri" w:hAnsi="Calibri"/>
                <w:b/>
                <w:sz w:val="24"/>
              </w:rPr>
            </w:pPr>
            <w:r>
              <w:rPr>
                <w:rFonts w:ascii="Calibri" w:hAnsi="Calibri"/>
                <w:b/>
                <w:sz w:val="24"/>
              </w:rPr>
              <w:t>Име и презиме*</w:t>
            </w:r>
          </w:p>
        </w:tc>
        <w:tc>
          <w:tcPr>
            <w:tcW w:w="6710" w:type="dxa"/>
            <w:gridSpan w:val="2"/>
            <w:shd w:val="clear" w:color="auto" w:fill="F1F1F1"/>
          </w:tcPr>
          <w:p>
            <w:pPr>
              <w:pStyle w:val="TableParagraph"/>
              <w:ind w:left="0"/>
              <w:rPr>
                <w:sz w:val="22"/>
              </w:rPr>
            </w:pPr>
          </w:p>
        </w:tc>
      </w:tr>
      <w:tr>
        <w:trPr>
          <w:trHeight w:val="2342" w:hRule="atLeast"/>
        </w:trPr>
        <w:tc>
          <w:tcPr>
            <w:tcW w:w="2643" w:type="dxa"/>
            <w:shd w:val="clear" w:color="auto" w:fill="F1F1F1"/>
          </w:tcPr>
          <w:p>
            <w:pPr>
              <w:pStyle w:val="TableParagraph"/>
              <w:ind w:left="0"/>
              <w:rPr>
                <w:rFonts w:ascii="Cambria"/>
                <w:sz w:val="24"/>
              </w:rPr>
            </w:pPr>
          </w:p>
          <w:p>
            <w:pPr>
              <w:pStyle w:val="TableParagraph"/>
              <w:ind w:left="0"/>
              <w:rPr>
                <w:rFonts w:ascii="Cambria"/>
                <w:sz w:val="24"/>
              </w:rPr>
            </w:pPr>
          </w:p>
          <w:p>
            <w:pPr>
              <w:pStyle w:val="TableParagraph"/>
              <w:spacing w:before="161"/>
              <w:rPr>
                <w:rFonts w:ascii="Calibri" w:hAnsi="Calibri"/>
                <w:b/>
                <w:sz w:val="24"/>
              </w:rPr>
            </w:pPr>
            <w:r>
              <w:rPr>
                <w:rFonts w:ascii="Calibri" w:hAnsi="Calibri"/>
                <w:b/>
                <w:sz w:val="24"/>
              </w:rPr>
              <w:t>Контакт информации*</w:t>
            </w:r>
          </w:p>
        </w:tc>
        <w:tc>
          <w:tcPr>
            <w:tcW w:w="6710" w:type="dxa"/>
            <w:gridSpan w:val="2"/>
            <w:shd w:val="clear" w:color="auto" w:fill="F1F1F1"/>
          </w:tcPr>
          <w:p>
            <w:pPr>
              <w:pStyle w:val="TableParagraph"/>
              <w:spacing w:line="285" w:lineRule="exact"/>
              <w:ind w:left="105"/>
              <w:rPr>
                <w:rFonts w:ascii="Calibri" w:hAnsi="Calibri"/>
                <w:b/>
                <w:sz w:val="24"/>
              </w:rPr>
            </w:pPr>
            <w:r>
              <w:rPr>
                <w:rFonts w:ascii="Calibri" w:hAnsi="Calibri"/>
                <w:b/>
                <w:sz w:val="24"/>
              </w:rPr>
              <w:t>Е-пошта:</w:t>
            </w:r>
          </w:p>
          <w:p>
            <w:pPr>
              <w:pStyle w:val="TableParagraph"/>
              <w:ind w:left="0"/>
              <w:rPr>
                <w:rFonts w:ascii="Cambria"/>
                <w:sz w:val="20"/>
              </w:rPr>
            </w:pPr>
          </w:p>
          <w:p>
            <w:pPr>
              <w:pStyle w:val="TableParagraph"/>
              <w:spacing w:before="8" w:after="1"/>
              <w:ind w:left="0"/>
              <w:rPr>
                <w:rFonts w:ascii="Cambria"/>
                <w:sz w:val="26"/>
              </w:rPr>
            </w:pPr>
          </w:p>
          <w:p>
            <w:pPr>
              <w:pStyle w:val="TableParagraph"/>
              <w:spacing w:line="20" w:lineRule="exact"/>
              <w:ind w:left="97"/>
              <w:rPr>
                <w:rFonts w:ascii="Cambria"/>
                <w:sz w:val="2"/>
              </w:rPr>
            </w:pPr>
            <w:r>
              <w:rPr>
                <w:rFonts w:ascii="Cambria"/>
                <w:sz w:val="2"/>
              </w:rPr>
              <w:pict>
                <v:group style="width:179.25pt;height:.8pt;mso-position-horizontal-relative:char;mso-position-vertical-relative:line" coordorigin="0,0" coordsize="3585,16">
                  <v:line style="position:absolute" from="0,8" to="3585,8" stroked="true" strokeweight=".77925pt" strokecolor="#000000">
                    <v:stroke dashstyle="solid"/>
                  </v:line>
                </v:group>
              </w:pict>
            </w:r>
            <w:r>
              <w:rPr>
                <w:rFonts w:ascii="Cambria"/>
                <w:sz w:val="2"/>
              </w:rPr>
            </w:r>
          </w:p>
          <w:p>
            <w:pPr>
              <w:pStyle w:val="TableParagraph"/>
              <w:spacing w:before="5"/>
              <w:ind w:left="0"/>
              <w:rPr>
                <w:rFonts w:ascii="Cambria"/>
                <w:sz w:val="26"/>
              </w:rPr>
            </w:pPr>
          </w:p>
          <w:p>
            <w:pPr>
              <w:pStyle w:val="TableParagraph"/>
              <w:ind w:left="105"/>
              <w:rPr>
                <w:rFonts w:ascii="Calibri" w:hAnsi="Calibri"/>
                <w:b/>
                <w:sz w:val="24"/>
              </w:rPr>
            </w:pPr>
            <w:r>
              <w:rPr>
                <w:rFonts w:ascii="Calibri" w:hAnsi="Calibri"/>
                <w:b/>
                <w:sz w:val="24"/>
              </w:rPr>
              <w:t>Телефон:</w:t>
            </w:r>
          </w:p>
        </w:tc>
      </w:tr>
      <w:tr>
        <w:trPr>
          <w:trHeight w:val="3809" w:hRule="atLeast"/>
        </w:trPr>
        <w:tc>
          <w:tcPr>
            <w:tcW w:w="9353" w:type="dxa"/>
            <w:gridSpan w:val="3"/>
            <w:shd w:val="clear" w:color="auto" w:fill="F1F1F1"/>
          </w:tcPr>
          <w:p>
            <w:pPr>
              <w:pStyle w:val="TableParagraph"/>
              <w:spacing w:line="285" w:lineRule="exact"/>
              <w:rPr>
                <w:rFonts w:ascii="Calibri" w:hAnsi="Calibri"/>
                <w:b/>
                <w:sz w:val="24"/>
              </w:rPr>
            </w:pPr>
            <w:r>
              <w:rPr>
                <w:rFonts w:ascii="Calibri" w:hAnsi="Calibri"/>
                <w:b/>
                <w:sz w:val="24"/>
              </w:rPr>
              <w:t>Коментар:</w:t>
            </w:r>
          </w:p>
        </w:tc>
      </w:tr>
      <w:tr>
        <w:trPr>
          <w:trHeight w:val="1180" w:hRule="atLeast"/>
        </w:trPr>
        <w:tc>
          <w:tcPr>
            <w:tcW w:w="4561" w:type="dxa"/>
            <w:gridSpan w:val="2"/>
            <w:shd w:val="clear" w:color="auto" w:fill="F1F1F1"/>
          </w:tcPr>
          <w:p>
            <w:pPr>
              <w:pStyle w:val="TableParagraph"/>
              <w:spacing w:line="238" w:lineRule="exact"/>
              <w:rPr>
                <w:rFonts w:ascii="Calibri" w:hAnsi="Calibri"/>
                <w:b/>
                <w:sz w:val="20"/>
              </w:rPr>
            </w:pPr>
            <w:r>
              <w:rPr>
                <w:rFonts w:ascii="Calibri" w:hAnsi="Calibri"/>
                <w:b/>
                <w:sz w:val="20"/>
              </w:rPr>
              <w:t>Потпис</w:t>
            </w:r>
          </w:p>
        </w:tc>
        <w:tc>
          <w:tcPr>
            <w:tcW w:w="4792" w:type="dxa"/>
            <w:shd w:val="clear" w:color="auto" w:fill="F1F1F1"/>
          </w:tcPr>
          <w:p>
            <w:pPr>
              <w:pStyle w:val="TableParagraph"/>
              <w:spacing w:line="238" w:lineRule="exact"/>
              <w:rPr>
                <w:rFonts w:ascii="Calibri" w:hAnsi="Calibri"/>
                <w:b/>
                <w:sz w:val="20"/>
              </w:rPr>
            </w:pPr>
            <w:r>
              <w:rPr>
                <w:rFonts w:ascii="Calibri" w:hAnsi="Calibri"/>
                <w:b/>
                <w:sz w:val="20"/>
              </w:rPr>
              <w:t>Дата</w:t>
            </w:r>
          </w:p>
        </w:tc>
      </w:tr>
    </w:tbl>
    <w:p>
      <w:pPr>
        <w:spacing w:line="173" w:lineRule="exact" w:before="0"/>
        <w:ind w:left="100" w:right="0" w:firstLine="0"/>
        <w:jc w:val="left"/>
        <w:rPr>
          <w:rFonts w:ascii="Arial" w:hAnsi="Arial"/>
          <w:sz w:val="16"/>
        </w:rPr>
      </w:pPr>
      <w:r>
        <w:rPr/>
        <w:pict>
          <v:shape style="position:absolute;margin-left:76.224007pt;margin-top:71.035965pt;width:459.7pt;height:82.85pt;mso-position-horizontal-relative:page;mso-position-vertical-relative:page;z-index:-251801600" coordorigin="1524,1421" coordsize="9194,1657" path="m10718,2801l1524,2801,1524,3077,10718,3077,10718,2801m10718,1973l1524,1973,1524,2249,1524,2525,1524,2801,10718,2801,10718,2525,10718,2249,10718,1973m10718,1421l1524,1421,1524,1697,1524,1973,10718,1973,10718,1697,10718,1421e" filled="true" fillcolor="#dbedf3" stroked="false">
            <v:path arrowok="t"/>
            <v:fill type="solid"/>
            <w10:wrap type="none"/>
          </v:shape>
        </w:pict>
      </w:r>
      <w:r>
        <w:rPr/>
        <w:pict>
          <v:shape style="position:absolute;margin-left:76.224007pt;margin-top:222.85997pt;width:459.7pt;height:40.950pt;mso-position-horizontal-relative:page;mso-position-vertical-relative:page;z-index:-251800576" coordorigin="1524,4457" coordsize="9194,819" path="m10718,5009l1524,5009,1524,5276,10718,5276,10718,5009m10718,4733l1524,4733,1524,5009,10718,5009,10718,4733m10718,4457l1524,4457,1524,4733,10718,4733,10718,4457e" filled="true" fillcolor="#e4dfeb" stroked="false">
            <v:path arrowok="t"/>
            <v:fill type="solid"/>
            <w10:wrap type="none"/>
          </v:shape>
        </w:pict>
      </w:r>
      <w:r>
        <w:rPr/>
        <w:pict>
          <v:line style="position:absolute;mso-position-horizontal-relative:page;mso-position-vertical-relative:page;z-index:-251799552" from="209.690002pt,426.238983pt" to="388.934574pt,426.238983pt" stroked="true" strokeweight=".77925pt" strokecolor="#000000">
            <v:stroke dashstyle="solid"/>
            <w10:wrap type="none"/>
          </v:line>
        </w:pict>
      </w:r>
      <w:r>
        <w:rPr/>
        <w:pict>
          <v:line style="position:absolute;mso-position-horizontal-relative:page;mso-position-vertical-relative:paragraph;z-index:-251798528" from="77.664001pt,-12.224334pt" to="187.045194pt,-12.224334pt" stroked="true" strokeweight=".646778pt" strokecolor="#000000">
            <v:stroke dashstyle="solid"/>
            <w10:wrap type="none"/>
          </v:line>
        </w:pict>
      </w:r>
      <w:r>
        <w:rPr/>
        <w:pict>
          <v:line style="position:absolute;mso-position-horizontal-relative:page;mso-position-vertical-relative:paragraph;z-index:-251797504" from="305.690002pt,-12.224334pt" to="405.121154pt,-12.224334pt" stroked="true" strokeweight=".646778pt" strokecolor="#000000">
            <v:stroke dashstyle="solid"/>
            <w10:wrap type="none"/>
          </v:line>
        </w:pict>
      </w:r>
      <w:r>
        <w:rPr>
          <w:rFonts w:ascii="Arial" w:hAnsi="Arial"/>
          <w:sz w:val="16"/>
        </w:rPr>
        <w:t>* Пополнување на полињата со лични податоци не е задолжително</w:t>
      </w:r>
    </w:p>
    <w:sectPr>
      <w:pgSz w:w="12240" w:h="15840"/>
      <w:pgMar w:header="0" w:footer="732" w:top="1140" w:bottom="9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580017pt;margin-top:744.399475pt;width:9.550pt;height:13.15pt;mso-position-horizontal-relative:page;mso-position-vertical-relative:page;z-index:-251804672" type="#_x0000_t202" filled="false" stroked="false">
          <v:textbox inset="0,0,0,0">
            <w:txbxContent>
              <w:p>
                <w:pPr>
                  <w:spacing w:before="12"/>
                  <w:ind w:left="40" w:right="0" w:firstLine="0"/>
                  <w:jc w:val="left"/>
                  <w:rPr>
                    <w:rFonts w:ascii="Arial"/>
                    <w:sz w:val="20"/>
                  </w:rPr>
                </w:pPr>
                <w:r>
                  <w:rPr/>
                  <w:fldChar w:fldCharType="begin"/>
                </w:r>
                <w:r>
                  <w:rPr>
                    <w:rFonts w:ascii="Arial"/>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81" w:hanging="360"/>
        <w:jc w:val="left"/>
      </w:pPr>
      <w:rPr>
        <w:rFonts w:hint="default" w:ascii="Times New Roman" w:hAnsi="Times New Roman" w:eastAsia="Times New Roman" w:cs="Times New Roman"/>
        <w:spacing w:val="-3"/>
        <w:w w:val="100"/>
        <w:sz w:val="24"/>
        <w:szCs w:val="24"/>
        <w:lang w:val="sq-AL" w:eastAsia="sq-AL" w:bidi="sq-AL"/>
      </w:rPr>
    </w:lvl>
    <w:lvl w:ilvl="1">
      <w:start w:val="0"/>
      <w:numFmt w:val="bullet"/>
      <w:lvlText w:val="•"/>
      <w:lvlJc w:val="left"/>
      <w:pPr>
        <w:ind w:left="2110" w:hanging="360"/>
      </w:pPr>
      <w:rPr>
        <w:rFonts w:hint="default"/>
        <w:lang w:val="sq-AL" w:eastAsia="sq-AL" w:bidi="sq-AL"/>
      </w:rPr>
    </w:lvl>
    <w:lvl w:ilvl="2">
      <w:start w:val="0"/>
      <w:numFmt w:val="bullet"/>
      <w:lvlText w:val="•"/>
      <w:lvlJc w:val="left"/>
      <w:pPr>
        <w:ind w:left="2940" w:hanging="360"/>
      </w:pPr>
      <w:rPr>
        <w:rFonts w:hint="default"/>
        <w:lang w:val="sq-AL" w:eastAsia="sq-AL" w:bidi="sq-AL"/>
      </w:rPr>
    </w:lvl>
    <w:lvl w:ilvl="3">
      <w:start w:val="0"/>
      <w:numFmt w:val="bullet"/>
      <w:lvlText w:val="•"/>
      <w:lvlJc w:val="left"/>
      <w:pPr>
        <w:ind w:left="3770" w:hanging="360"/>
      </w:pPr>
      <w:rPr>
        <w:rFonts w:hint="default"/>
        <w:lang w:val="sq-AL" w:eastAsia="sq-AL" w:bidi="sq-AL"/>
      </w:rPr>
    </w:lvl>
    <w:lvl w:ilvl="4">
      <w:start w:val="0"/>
      <w:numFmt w:val="bullet"/>
      <w:lvlText w:val="•"/>
      <w:lvlJc w:val="left"/>
      <w:pPr>
        <w:ind w:left="4600" w:hanging="360"/>
      </w:pPr>
      <w:rPr>
        <w:rFonts w:hint="default"/>
        <w:lang w:val="sq-AL" w:eastAsia="sq-AL" w:bidi="sq-AL"/>
      </w:rPr>
    </w:lvl>
    <w:lvl w:ilvl="5">
      <w:start w:val="0"/>
      <w:numFmt w:val="bullet"/>
      <w:lvlText w:val="•"/>
      <w:lvlJc w:val="left"/>
      <w:pPr>
        <w:ind w:left="5430" w:hanging="360"/>
      </w:pPr>
      <w:rPr>
        <w:rFonts w:hint="default"/>
        <w:lang w:val="sq-AL" w:eastAsia="sq-AL" w:bidi="sq-AL"/>
      </w:rPr>
    </w:lvl>
    <w:lvl w:ilvl="6">
      <w:start w:val="0"/>
      <w:numFmt w:val="bullet"/>
      <w:lvlText w:val="•"/>
      <w:lvlJc w:val="left"/>
      <w:pPr>
        <w:ind w:left="6260" w:hanging="360"/>
      </w:pPr>
      <w:rPr>
        <w:rFonts w:hint="default"/>
        <w:lang w:val="sq-AL" w:eastAsia="sq-AL" w:bidi="sq-AL"/>
      </w:rPr>
    </w:lvl>
    <w:lvl w:ilvl="7">
      <w:start w:val="0"/>
      <w:numFmt w:val="bullet"/>
      <w:lvlText w:val="•"/>
      <w:lvlJc w:val="left"/>
      <w:pPr>
        <w:ind w:left="7090" w:hanging="360"/>
      </w:pPr>
      <w:rPr>
        <w:rFonts w:hint="default"/>
        <w:lang w:val="sq-AL" w:eastAsia="sq-AL" w:bidi="sq-AL"/>
      </w:rPr>
    </w:lvl>
    <w:lvl w:ilvl="8">
      <w:start w:val="0"/>
      <w:numFmt w:val="bullet"/>
      <w:lvlText w:val="•"/>
      <w:lvlJc w:val="left"/>
      <w:pPr>
        <w:ind w:left="7920" w:hanging="360"/>
      </w:pPr>
      <w:rPr>
        <w:rFonts w:hint="default"/>
        <w:lang w:val="sq-AL" w:eastAsia="sq-AL" w:bidi="sq-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q-AL" w:eastAsia="sq-AL" w:bidi="sq-AL"/>
    </w:rPr>
  </w:style>
  <w:style w:styleId="BodyText" w:type="paragraph">
    <w:name w:val="Body Text"/>
    <w:basedOn w:val="Normal"/>
    <w:uiPriority w:val="1"/>
    <w:qFormat/>
    <w:pPr/>
    <w:rPr>
      <w:rFonts w:ascii="Times New Roman" w:hAnsi="Times New Roman" w:eastAsia="Times New Roman" w:cs="Times New Roman"/>
      <w:sz w:val="24"/>
      <w:szCs w:val="24"/>
      <w:lang w:val="sq-AL" w:eastAsia="sq-AL" w:bidi="sq-AL"/>
    </w:rPr>
  </w:style>
  <w:style w:styleId="Heading1" w:type="paragraph">
    <w:name w:val="Heading 1"/>
    <w:basedOn w:val="Normal"/>
    <w:uiPriority w:val="1"/>
    <w:qFormat/>
    <w:pPr>
      <w:ind w:left="213" w:right="246"/>
      <w:jc w:val="center"/>
      <w:outlineLvl w:val="1"/>
    </w:pPr>
    <w:rPr>
      <w:rFonts w:ascii="Times New Roman" w:hAnsi="Times New Roman" w:eastAsia="Times New Roman" w:cs="Times New Roman"/>
      <w:b/>
      <w:bCs/>
      <w:sz w:val="24"/>
      <w:szCs w:val="24"/>
      <w:lang w:val="sq-AL" w:eastAsia="sq-AL" w:bidi="sq-AL"/>
    </w:rPr>
  </w:style>
  <w:style w:styleId="ListParagraph" w:type="paragraph">
    <w:name w:val="List Paragraph"/>
    <w:basedOn w:val="Normal"/>
    <w:uiPriority w:val="1"/>
    <w:qFormat/>
    <w:pPr>
      <w:ind w:left="1281" w:hanging="361"/>
    </w:pPr>
    <w:rPr>
      <w:rFonts w:ascii="Times New Roman" w:hAnsi="Times New Roman" w:eastAsia="Times New Roman" w:cs="Times New Roman"/>
      <w:lang w:val="sq-AL" w:eastAsia="sq-AL" w:bidi="sq-AL"/>
    </w:rPr>
  </w:style>
  <w:style w:styleId="TableParagraph" w:type="paragraph">
    <w:name w:val="Table Paragraph"/>
    <w:basedOn w:val="Normal"/>
    <w:uiPriority w:val="1"/>
    <w:qFormat/>
    <w:pPr>
      <w:ind w:left="107"/>
    </w:pPr>
    <w:rPr>
      <w:rFonts w:ascii="Times New Roman" w:hAnsi="Times New Roman" w:eastAsia="Times New Roman" w:cs="Times New Roman"/>
      <w:lang w:val="sq-AL" w:eastAsia="sq-AL" w:bidi="sq-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lrcp.mk/" TargetMode="External"/><Relationship Id="rId7" Type="http://schemas.openxmlformats.org/officeDocument/2006/relationships/hyperlink" Target="http://stobiwinery.mk/restaurant.nspx" TargetMode="External"/><Relationship Id="rId8" Type="http://schemas.openxmlformats.org/officeDocument/2006/relationships/hyperlink" Target="http://www.tourismmacedonia.gov.mk/" TargetMode="External"/><Relationship Id="rId9" Type="http://schemas.openxmlformats.org/officeDocument/2006/relationships/hyperlink" Target="mailto:ljubomir.petkovski@lrcp.org.mk" TargetMode="External"/><Relationship Id="rId10" Type="http://schemas.openxmlformats.org/officeDocument/2006/relationships/hyperlink" Target="mailto:ilija.gjorgiev@beton.com.mk"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2019-12-27T09:57:22Z</dcterms:created>
  <dcterms:modified xsi:type="dcterms:W3CDTF">2019-12-27T09:57:22Z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2013</vt:lpwstr>
  </property>
  <property fmtid="{D5CDD505-2E9C-101B-9397-08002B2CF9AE}" pid="4" name="LastSaved">
    <vt:filetime>2019-12-27T00:00:00Z</vt:filetime>
  </property>
</Properties>
</file>