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1527"/>
        <w:gridCol w:w="3210"/>
        <w:gridCol w:w="1921"/>
      </w:tblGrid>
      <w:tr>
        <w:trPr>
          <w:trHeight w:val="710" w:hRule="atLeast"/>
        </w:trPr>
        <w:tc>
          <w:tcPr>
            <w:tcW w:w="9239" w:type="dxa"/>
            <w:gridSpan w:val="4"/>
            <w:shd w:val="clear" w:color="auto" w:fill="FCE9D9"/>
          </w:tcPr>
          <w:p>
            <w:pPr>
              <w:pStyle w:val="TableParagraph"/>
              <w:spacing w:before="2"/>
              <w:ind w:left="614" w:right="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Komentet dhe Form Sugjerim</w:t>
            </w:r>
          </w:p>
          <w:p>
            <w:pPr>
              <w:pStyle w:val="TableParagraph"/>
              <w:spacing w:before="2"/>
              <w:ind w:left="614" w:right="5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fill="000000" w:color="auto" w:val="clear"/>
              </w:rPr>
              <w:t>Konsujt, qyteti, kuzhina dhe kultura: një përvojë e hershme të shekullit të 20</w:t>
            </w:r>
          </w:p>
        </w:tc>
      </w:tr>
      <w:tr>
        <w:trPr>
          <w:trHeight w:val="7476" w:hRule="atLeast"/>
        </w:trPr>
        <w:tc>
          <w:tcPr>
            <w:tcW w:w="9239" w:type="dxa"/>
            <w:gridSpan w:val="4"/>
          </w:tcPr>
          <w:p>
            <w:pPr>
              <w:pStyle w:val="TableParagraph"/>
              <w:ind w:right="57" w:firstLine="587"/>
              <w:jc w:val="both"/>
              <w:rPr>
                <w:sz w:val="20"/>
              </w:rPr>
            </w:pPr>
            <w:r>
              <w:rPr>
                <w:sz w:val="20"/>
              </w:rPr>
              <w:t>OMNIA Proekt LLC Manastir, degë Hotel Teatar Bitola, në kuadër të "Projektit për konkurrencë lokale dhe rajonale" të mbështetur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nga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BE-ja,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Banka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Botërore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Ministria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për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RM-së,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komponenti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të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"Investimet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në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infrastrukturë dhe lidhjet në destinacionet e turizmit të lidhura", përgatitur dhe ka dorëzuar një propozim projekt të quajtur </w:t>
            </w:r>
            <w:r>
              <w:rPr>
                <w:spacing w:val="9"/>
                <w:sz w:val="20"/>
              </w:rPr>
              <w:t>"</w:t>
            </w:r>
            <w:r>
              <w:rPr>
                <w:color w:val="FFFFFF"/>
                <w:spacing w:val="9"/>
                <w:sz w:val="20"/>
                <w:shd w:fill="000000" w:color="auto" w:val="clear"/>
              </w:rPr>
              <w:t> </w:t>
            </w:r>
            <w:r>
              <w:rPr>
                <w:b/>
                <w:color w:val="FFFFFF"/>
                <w:sz w:val="20"/>
                <w:shd w:fill="000000" w:color="auto" w:val="clear"/>
              </w:rPr>
              <w:t>Konsujt, qyteti,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z w:val="20"/>
                <w:shd w:fill="000000" w:color="auto" w:val="clear"/>
              </w:rPr>
              <w:t>kuzhina dhe kultura: një përvojë e hershme të shekullit të 20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sz w:val="20"/>
              </w:rPr>
              <w:t>"për </w:t>
            </w:r>
            <w:r>
              <w:rPr>
                <w:sz w:val="20"/>
              </w:rPr>
              <w:t>marrjen e grantit për financimin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e projektit.</w:t>
            </w:r>
          </w:p>
          <w:p>
            <w:pPr>
              <w:pStyle w:val="TableParagraph"/>
              <w:ind w:right="56" w:firstLine="5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Qëllimi kryesor </w:t>
            </w:r>
            <w:r>
              <w:rPr>
                <w:sz w:val="20"/>
              </w:rPr>
              <w:t>i projektit është forcimi i potencialit turistik të komunës së Manastirit dhe rajonin jug-perëndim, duke rritur volumin dhe cilësinë e ofertës turistike.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7" w:firstLine="587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pjesë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projekt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propozimit,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Teatar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Bitola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përgatitur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një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menaxhimin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trashëgimisë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listë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plotë për projektin "</w:t>
            </w:r>
            <w:r>
              <w:rPr>
                <w:b/>
                <w:color w:val="FFFFFF"/>
                <w:sz w:val="20"/>
                <w:shd w:fill="000000" w:color="auto" w:val="clear"/>
              </w:rPr>
              <w:t>Konsujt, qyteti, kuzhina dhe kultura: një përvojë e hershme të shekullit të 20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sz w:val="20"/>
              </w:rPr>
              <w:t>"</w:t>
            </w:r>
            <w:r>
              <w:rPr>
                <w:sz w:val="20"/>
              </w:rPr>
              <w:t>me qëllim të identifikimit dhe vlerësuar ndikimet e mundshme të aktiviteteve të projektit për rinovimin e një shtëpi të vjetër të qytetit, duke bërë një shfaqje kuzhinë (demonstrative) me stacione gatim, dhe mobilimin një sallë multifunksionale. Plani gjithashtu përmban masat për parandalimin,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minimizimin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zbutjen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ndikimeve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të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mundshme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negative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nga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realizimi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aktiviteteve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të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planifikuara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të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projektit.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Versioni elektronik i Planit të Menaxhimit të Trashëgimisë Kulturore është në dispozicion në:</w:t>
            </w:r>
          </w:p>
          <w:p>
            <w:pPr>
              <w:pStyle w:val="TableParagraph"/>
              <w:spacing w:before="60"/>
              <w:ind w:left="352" w:right="5267"/>
              <w:rPr>
                <w:sz w:val="20"/>
              </w:rPr>
            </w:pPr>
            <w:r>
              <w:rPr>
                <w:sz w:val="20"/>
              </w:rPr>
              <w:t>Njësia për Implementimin e Projektit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www.lrcp.mk</w:t>
              </w:r>
            </w:hyperlink>
            <w:r>
              <w:rPr>
                <w:color w:val="0000FF"/>
                <w:sz w:val="20"/>
              </w:rPr>
              <w:t> </w:t>
            </w:r>
            <w:r>
              <w:rPr>
                <w:sz w:val="20"/>
              </w:rPr>
              <w:t>Hotel Teatar:</w:t>
            </w:r>
            <w:r>
              <w:rPr>
                <w:color w:val="0000FF"/>
                <w:sz w:val="20"/>
                <w:u w:val="single" w:color="0000FF"/>
              </w:rPr>
              <w:t>hotelteatar.com</w:t>
            </w:r>
          </w:p>
          <w:p>
            <w:pPr>
              <w:pStyle w:val="TableParagraph"/>
              <w:spacing w:line="229" w:lineRule="exact"/>
              <w:ind w:left="352"/>
              <w:rPr>
                <w:sz w:val="20"/>
              </w:rPr>
            </w:pPr>
            <w:r>
              <w:rPr>
                <w:sz w:val="20"/>
              </w:rPr>
              <w:t>Agjencia për promovim dhe mbështetje të turizmit në Maqedoni: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www.tourismmacedonia.gov.mk</w:t>
              </w:r>
            </w:hyperlink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kopje e Planit të Menaxhimit të Trashëgimisë Kulturore është në dispozicion në këto vende: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3" w:val="left" w:leader="none"/>
                <w:tab w:pos="1114" w:val="left" w:leader="none"/>
              </w:tabs>
              <w:spacing w:line="229" w:lineRule="exact" w:before="1" w:after="0"/>
              <w:ind w:left="111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Njësia për Implementimin e Projektit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(PIU)</w:t>
            </w:r>
          </w:p>
          <w:p>
            <w:pPr>
              <w:pStyle w:val="TableParagraph"/>
              <w:ind w:left="1113" w:right="4315"/>
              <w:rPr>
                <w:sz w:val="20"/>
              </w:rPr>
            </w:pPr>
            <w:r>
              <w:rPr>
                <w:sz w:val="20"/>
              </w:rPr>
              <w:t>Projektit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për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konkurrencë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lokale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rajonale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(LRKP) Adresa: ul. Gjuro Gjakovich nr. 60/1, Shkup Telefoni: 02 32 53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818</w:t>
            </w:r>
          </w:p>
          <w:p>
            <w:pPr>
              <w:pStyle w:val="TableParagraph"/>
              <w:ind w:left="1113" w:right="4795"/>
              <w:rPr>
                <w:sz w:val="20"/>
              </w:rPr>
            </w:pPr>
            <w:r>
              <w:rPr>
                <w:sz w:val="20"/>
              </w:rPr>
              <w:t>Cultural Heritage Ekspert: Slave Mladenovski E-mail: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slave.mladenovski@lrcp.org.mk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3" w:val="left" w:leader="none"/>
                <w:tab w:pos="1114" w:val="left" w:leader="none"/>
              </w:tabs>
              <w:spacing w:line="229" w:lineRule="exact" w:before="2" w:after="0"/>
              <w:ind w:left="111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Teatar</w:t>
            </w:r>
          </w:p>
          <w:p>
            <w:pPr>
              <w:pStyle w:val="TableParagraph"/>
              <w:ind w:left="811" w:right="5608" w:firstLine="302"/>
              <w:rPr>
                <w:sz w:val="20"/>
              </w:rPr>
            </w:pPr>
            <w:r>
              <w:rPr>
                <w:sz w:val="20"/>
              </w:rPr>
              <w:t>Adresa: 35 Stiv Naumov str, Bitola Telefoni: 047 / 610-188</w:t>
            </w:r>
          </w:p>
          <w:p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Personi përgjegjës: MA Ivana Skalidis, menaxher tavolinë para</w:t>
            </w:r>
          </w:p>
          <w:p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Е-mail: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omniaproekt@gmail.com</w:t>
              </w:r>
            </w:hyperlink>
          </w:p>
        </w:tc>
      </w:tr>
      <w:tr>
        <w:trPr>
          <w:trHeight w:val="688" w:hRule="atLeast"/>
        </w:trPr>
        <w:tc>
          <w:tcPr>
            <w:tcW w:w="9239" w:type="dxa"/>
            <w:gridSpan w:val="4"/>
            <w:shd w:val="clear" w:color="auto" w:fill="DAEDF3"/>
          </w:tcPr>
          <w:p>
            <w:pPr>
              <w:pStyle w:val="TableParagraph"/>
              <w:ind w:firstLine="587"/>
              <w:rPr>
                <w:b/>
                <w:sz w:val="20"/>
              </w:rPr>
            </w:pPr>
            <w:r>
              <w:rPr>
                <w:b/>
                <w:sz w:val="20"/>
              </w:rPr>
              <w:t>Ju lutem, nëse keni ndonjë koment / sugjerim apo ndryshim në masat e propozuara në planin e menaxhimit të Trashëgimisë Kulturore ta dërgojë atë në personat përgjegjës brenda periudhës prej së paku 14 ditësh nga data e</w:t>
            </w:r>
          </w:p>
          <w:p>
            <w:pPr>
              <w:pStyle w:val="TableParagraph"/>
              <w:tabs>
                <w:tab w:pos="7003" w:val="left" w:leader="none"/>
              </w:tabs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publikimit të Planit të Menaxhimit të Trashëgimisë Kulturore. (Data</w:t>
            </w:r>
            <w:r>
              <w:rPr>
                <w:b/>
                <w:spacing w:val="-29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publikimit: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).</w:t>
            </w:r>
          </w:p>
        </w:tc>
      </w:tr>
      <w:tr>
        <w:trPr>
          <w:trHeight w:val="227" w:hRule="atLeast"/>
        </w:trPr>
        <w:tc>
          <w:tcPr>
            <w:tcW w:w="7318" w:type="dxa"/>
            <w:gridSpan w:val="3"/>
            <w:shd w:val="clear" w:color="auto" w:fill="E4DFEB"/>
          </w:tcPr>
          <w:p>
            <w:pPr>
              <w:pStyle w:val="TableParagraph"/>
              <w:spacing w:line="208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Ju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lutemi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dërgoni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komentet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tuaja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mbi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Planin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Kulturore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menaxhimin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trashëgimisë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për</w:t>
            </w:r>
          </w:p>
        </w:tc>
        <w:tc>
          <w:tcPr>
            <w:tcW w:w="1921" w:type="dxa"/>
            <w:shd w:val="clear" w:color="auto" w:fill="000000"/>
          </w:tcPr>
          <w:p>
            <w:pPr>
              <w:pStyle w:val="TableParagraph"/>
              <w:spacing w:line="208" w:lineRule="exact"/>
              <w:ind w:left="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Konsujt, qyteti, kuzhina</w:t>
            </w:r>
          </w:p>
        </w:tc>
      </w:tr>
      <w:tr>
        <w:trPr>
          <w:trHeight w:val="230" w:hRule="atLeast"/>
        </w:trPr>
        <w:tc>
          <w:tcPr>
            <w:tcW w:w="4108" w:type="dxa"/>
            <w:gridSpan w:val="2"/>
            <w:shd w:val="clear" w:color="auto" w:fill="000000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dhe kultura: një përvojë e hershme të shekullit të 20</w:t>
            </w:r>
          </w:p>
        </w:tc>
        <w:tc>
          <w:tcPr>
            <w:tcW w:w="5131" w:type="dxa"/>
            <w:gridSpan w:val="2"/>
            <w:shd w:val="clear" w:color="auto" w:fill="E4DFEB"/>
          </w:tcPr>
          <w:p>
            <w:pPr>
              <w:pStyle w:val="TableParagraph"/>
              <w:spacing w:line="210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të listuara e-mail, ose në ambientet e Hotel Teatar Manastir dhe /</w:t>
            </w:r>
          </w:p>
        </w:tc>
      </w:tr>
      <w:tr>
        <w:trPr>
          <w:trHeight w:val="921" w:hRule="atLeast"/>
        </w:trPr>
        <w:tc>
          <w:tcPr>
            <w:tcW w:w="9239" w:type="dxa"/>
            <w:gridSpan w:val="4"/>
            <w:shd w:val="clear" w:color="auto" w:fill="E4DFEB"/>
          </w:tcPr>
          <w:p>
            <w:pPr>
              <w:pStyle w:val="TableParagraph"/>
              <w:spacing w:line="224" w:lineRule="exact"/>
              <w:ind w:left="25" w:right="5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ose Njësia për Implementimin e Projektit.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4" w:right="5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 falenderoj paraprakisht</w:t>
            </w:r>
          </w:p>
        </w:tc>
      </w:tr>
      <w:tr>
        <w:trPr>
          <w:trHeight w:val="466" w:hRule="atLeast"/>
        </w:trPr>
        <w:tc>
          <w:tcPr>
            <w:tcW w:w="9239" w:type="dxa"/>
            <w:gridSpan w:val="4"/>
          </w:tcPr>
          <w:p>
            <w:pPr>
              <w:pStyle w:val="TableParagraph"/>
              <w:tabs>
                <w:tab w:pos="2719" w:val="left" w:leader="none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Numri i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referencës: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z w:val="20"/>
              </w:rPr>
              <w:t>(Të plotësohet nga projekti)</w:t>
            </w:r>
          </w:p>
        </w:tc>
      </w:tr>
      <w:tr>
        <w:trPr>
          <w:trHeight w:val="678" w:hRule="atLeast"/>
        </w:trPr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Emri dhe mbiemri*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25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7"/>
              <w:rPr>
                <w:b/>
                <w:sz w:val="20"/>
              </w:rPr>
            </w:pPr>
            <w:r>
              <w:rPr>
                <w:b/>
                <w:sz w:val="20"/>
              </w:rPr>
              <w:t>Informacioni i kontaktit *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Е-mail: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36.8pt;height:.5pt;mso-position-horizontal-relative:char;mso-position-vertical-relative:line" coordorigin="0,0" coordsize="2736,10">
                  <v:line style="position:absolute" from="0,5" to="2736,5" stroked="true" strokeweight=".49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Telefoni: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69184" from="209.690002pt,695.651978pt" to="346.488809pt,695.651978pt" stroked="true" strokeweight=".49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649" w:top="1140" w:bottom="840" w:left="1340" w:right="1380"/>
          <w:pgNumType w:start="1"/>
        </w:sectPr>
      </w:pPr>
    </w:p>
    <w:p>
      <w:pPr>
        <w:pStyle w:val="BodyText"/>
        <w:ind w:right="-15"/>
        <w:rPr>
          <w:rFonts w:ascii="Times New Roman"/>
        </w:rPr>
      </w:pPr>
      <w:r>
        <w:rPr>
          <w:rFonts w:ascii="Times New Roman"/>
        </w:rPr>
        <w:pict>
          <v:group style="width:468.1pt;height:210.45pt;mso-position-horizontal-relative:char;mso-position-vertical-relative:line" coordorigin="0,0" coordsize="9362,4209">
            <v:rect style="position:absolute;left:9;top:12;width:9343;height:2984" filled="true" fillcolor="#f1f1f1" stroked="false">
              <v:fill type="solid"/>
            </v:rect>
            <v:rect style="position:absolute;left:112;top:12;width:9136;height:228" filled="true" fillcolor="#f1f1f1" stroked="false">
              <v:fill type="solid"/>
            </v:rect>
            <v:rect style="position:absolute;left:112;top:240;width:9136;height:231" filled="true" fillcolor="#f1f1f1" stroked="false">
              <v:fill type="solid"/>
            </v:rect>
            <v:rect style="position:absolute;left:112;top:470;width:9136;height:231" filled="true" fillcolor="#f1f1f1" stroked="false">
              <v:fill type="solid"/>
            </v:rect>
            <v:rect style="position:absolute;left:112;top:701;width:9136;height:228" filled="true" fillcolor="#f1f1f1" stroked="false">
              <v:fill type="solid"/>
            </v:rect>
            <v:rect style="position:absolute;left:112;top:929;width:9136;height:231" filled="true" fillcolor="#f1f1f1" stroked="false">
              <v:fill type="solid"/>
            </v:rect>
            <v:rect style="position:absolute;left:112;top:1159;width:9136;height:228" filled="true" fillcolor="#f1f1f1" stroked="false">
              <v:fill type="solid"/>
            </v:rect>
            <v:rect style="position:absolute;left:112;top:1387;width:9136;height:231" filled="true" fillcolor="#f1f1f1" stroked="false">
              <v:fill type="solid"/>
            </v:rect>
            <v:rect style="position:absolute;left:112;top:1618;width:9136;height:231" filled="true" fillcolor="#f1f1f1" stroked="false">
              <v:fill type="solid"/>
            </v:rect>
            <v:rect style="position:absolute;left:112;top:1848;width:9136;height:228" filled="true" fillcolor="#f1f1f1" stroked="false">
              <v:fill type="solid"/>
            </v:rect>
            <v:rect style="position:absolute;left:112;top:2076;width:9136;height:231" filled="true" fillcolor="#f1f1f1" stroked="false">
              <v:fill type="solid"/>
            </v:rect>
            <v:rect style="position:absolute;left:112;top:2306;width:9136;height:231" filled="true" fillcolor="#f1f1f1" stroked="false">
              <v:fill type="solid"/>
            </v:rect>
            <v:rect style="position:absolute;left:112;top:2537;width:9136;height:228" filled="true" fillcolor="#f1f1f1" stroked="false">
              <v:fill type="solid"/>
            </v:rect>
            <v:rect style="position:absolute;left:112;top:2765;width:9136;height:231" filled="true" fillcolor="#f1f1f1" stroked="false">
              <v:fill type="solid"/>
            </v:rect>
            <v:line style="position:absolute" from="10,5" to="9352,5" stroked="true" strokeweight=".48pt" strokecolor="#000000">
              <v:stroke dashstyle="solid"/>
            </v:line>
            <v:rect style="position:absolute;left:9;top:3005;width:4551;height:1194" filled="true" fillcolor="#f1f1f1" stroked="false">
              <v:fill type="solid"/>
            </v:rect>
            <v:rect style="position:absolute;left:112;top:3005;width:4345;height:231" filled="true" fillcolor="#f1f1f1" stroked="false">
              <v:fill type="solid"/>
            </v:rect>
            <v:rect style="position:absolute;left:112;top:3235;width:4345;height:228" filled="true" fillcolor="#f1f1f1" stroked="false">
              <v:fill type="solid"/>
            </v:rect>
            <v:rect style="position:absolute;left:112;top:3463;width:4345;height:231" filled="true" fillcolor="#f1f1f1" stroked="false">
              <v:fill type="solid"/>
            </v:rect>
            <v:rect style="position:absolute;left:112;top:3694;width:4345;height:229" filled="true" fillcolor="#f1f1f1" stroked="false">
              <v:fill type="solid"/>
            </v:rect>
            <v:line style="position:absolute" from="113,3899" to="2119,3899" stroked="true" strokeweight=".498pt" strokecolor="#000000">
              <v:stroke dashstyle="solid"/>
            </v:line>
            <v:rect style="position:absolute;left:4570;top:3005;width:4782;height:1194" filled="true" fillcolor="#f1f1f1" stroked="false">
              <v:fill type="solid"/>
            </v:rect>
            <v:rect style="position:absolute;left:4673;top:3005;width:4576;height:231" filled="true" fillcolor="#f1f1f1" stroked="false">
              <v:fill type="solid"/>
            </v:rect>
            <v:rect style="position:absolute;left:4673;top:3235;width:4576;height:228" filled="true" fillcolor="#f1f1f1" stroked="false">
              <v:fill type="solid"/>
            </v:rect>
            <v:rect style="position:absolute;left:4673;top:3463;width:4576;height:231" filled="true" fillcolor="#f1f1f1" stroked="false">
              <v:fill type="solid"/>
            </v:rect>
            <v:rect style="position:absolute;left:4673;top:3694;width:4576;height:229" filled="true" fillcolor="#f1f1f1" stroked="false">
              <v:fill type="solid"/>
            </v:rect>
            <v:line style="position:absolute" from="4673,3899" to="6497,3899" stroked="true" strokeweight=".498pt" strokecolor="#000000">
              <v:stroke dashstyle="solid"/>
            </v:line>
            <v:line style="position:absolute" from="10,3000" to="4560,3000" stroked="true" strokeweight=".48001pt" strokecolor="#000000">
              <v:stroke dashstyle="solid"/>
            </v:line>
            <v:line style="position:absolute" from="4570,3000" to="9352,3000" stroked="true" strokeweight=".48001pt" strokecolor="#000000">
              <v:stroke dashstyle="solid"/>
            </v:line>
            <v:line style="position:absolute" from="5,0" to="5,4208" stroked="true" strokeweight=".48pt" strokecolor="#000000">
              <v:stroke dashstyle="solid"/>
            </v:line>
            <v:line style="position:absolute" from="10,4203" to="4560,4203" stroked="true" strokeweight=".48001pt" strokecolor="#000000">
              <v:stroke dashstyle="solid"/>
            </v:line>
            <v:line style="position:absolute" from="4565,2996" to="4565,4208" stroked="true" strokeweight=".48001pt" strokecolor="#000000">
              <v:stroke dashstyle="solid"/>
            </v:line>
            <v:line style="position:absolute" from="4570,4203" to="9352,4203" stroked="true" strokeweight=".48001pt" strokecolor="#000000">
              <v:stroke dashstyle="solid"/>
            </v:line>
            <v:line style="position:absolute" from="9357,0" to="9357,4208" stroked="true" strokeweight=".47998pt" strokecolor="#000000">
              <v:stroke dashstyle="solid"/>
            </v:line>
            <v:shape style="position:absolute;left:4673;top:3006;width:35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112;top:3006;width:849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nënshkrim</w:t>
                    </w:r>
                  </w:p>
                </w:txbxContent>
              </v:textbox>
              <w10:wrap type="none"/>
            </v:shape>
            <v:shape style="position:absolute;left:112;top:10;width:686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Koment: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line="175" w:lineRule="exact"/>
      </w:pPr>
      <w:r>
        <w:rPr/>
        <w:t>* Informata në këtë fushë është fakultative</w:t>
      </w:r>
    </w:p>
    <w:sectPr>
      <w:pgSz w:w="12240" w:h="15840"/>
      <w:pgMar w:header="0" w:footer="649" w:top="1140" w:bottom="84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580017pt;margin-top:744.543457pt;width:9.550pt;height:13.15pt;mso-position-horizontal-relative:page;mso-position-vertical-relative:page;z-index:-2518702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3" w:hanging="360"/>
        <w:jc w:val="left"/>
      </w:pPr>
      <w:rPr>
        <w:rFonts w:hint="default" w:ascii="Arial Narrow" w:hAnsi="Arial Narrow" w:eastAsia="Arial Narrow" w:cs="Arial Narrow"/>
        <w:w w:val="99"/>
        <w:sz w:val="20"/>
        <w:szCs w:val="20"/>
        <w:lang w:val="sq-AL" w:eastAsia="sq-AL" w:bidi="sq-AL"/>
      </w:rPr>
    </w:lvl>
    <w:lvl w:ilvl="1">
      <w:start w:val="0"/>
      <w:numFmt w:val="bullet"/>
      <w:lvlText w:val="•"/>
      <w:lvlJc w:val="left"/>
      <w:pPr>
        <w:ind w:left="1931" w:hanging="360"/>
      </w:pPr>
      <w:rPr>
        <w:rFonts w:hint="default"/>
        <w:lang w:val="sq-AL" w:eastAsia="sq-AL" w:bidi="sq-AL"/>
      </w:rPr>
    </w:lvl>
    <w:lvl w:ilvl="2">
      <w:start w:val="0"/>
      <w:numFmt w:val="bullet"/>
      <w:lvlText w:val="•"/>
      <w:lvlJc w:val="left"/>
      <w:pPr>
        <w:ind w:left="2743" w:hanging="360"/>
      </w:pPr>
      <w:rPr>
        <w:rFonts w:hint="default"/>
        <w:lang w:val="sq-AL" w:eastAsia="sq-AL" w:bidi="sq-AL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sq-AL" w:eastAsia="sq-AL" w:bidi="sq-AL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sq-AL" w:eastAsia="sq-AL" w:bidi="sq-AL"/>
      </w:rPr>
    </w:lvl>
    <w:lvl w:ilvl="5">
      <w:start w:val="0"/>
      <w:numFmt w:val="bullet"/>
      <w:lvlText w:val="•"/>
      <w:lvlJc w:val="left"/>
      <w:pPr>
        <w:ind w:left="5179" w:hanging="360"/>
      </w:pPr>
      <w:rPr>
        <w:rFonts w:hint="default"/>
        <w:lang w:val="sq-AL" w:eastAsia="sq-AL" w:bidi="sq-AL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  <w:lang w:val="sq-AL" w:eastAsia="sq-AL" w:bidi="sq-AL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  <w:lang w:val="sq-AL" w:eastAsia="sq-AL" w:bidi="sq-AL"/>
      </w:rPr>
    </w:lvl>
    <w:lvl w:ilvl="8">
      <w:start w:val="0"/>
      <w:numFmt w:val="bullet"/>
      <w:lvlText w:val="•"/>
      <w:lvlJc w:val="left"/>
      <w:pPr>
        <w:ind w:left="7615" w:hanging="360"/>
      </w:pPr>
      <w:rPr>
        <w:rFonts w:hint="default"/>
        <w:lang w:val="sq-AL" w:eastAsia="sq-AL" w:bidi="sq-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sq-AL" w:eastAsia="sq-AL" w:bidi="sq-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Narrow" w:hAnsi="Arial Narrow" w:eastAsia="Arial Narrow" w:cs="Arial Narrow"/>
      <w:sz w:val="20"/>
      <w:szCs w:val="20"/>
      <w:lang w:val="sq-AL" w:eastAsia="sq-AL" w:bidi="sq-AL"/>
    </w:rPr>
  </w:style>
  <w:style w:styleId="ListParagraph" w:type="paragraph">
    <w:name w:val="List Paragraph"/>
    <w:basedOn w:val="Normal"/>
    <w:uiPriority w:val="1"/>
    <w:qFormat/>
    <w:pPr/>
    <w:rPr>
      <w:lang w:val="sq-AL" w:eastAsia="sq-AL" w:bidi="sq-AL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Arial Narrow" w:hAnsi="Arial Narrow" w:eastAsia="Arial Narrow" w:cs="Arial Narrow"/>
      <w:lang w:val="sq-AL" w:eastAsia="sq-AL" w:bidi="sq-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lrcp.mk/" TargetMode="External"/><Relationship Id="rId7" Type="http://schemas.openxmlformats.org/officeDocument/2006/relationships/hyperlink" Target="http://www.tourismmacedonia.gov.mk/" TargetMode="External"/><Relationship Id="rId8" Type="http://schemas.openxmlformats.org/officeDocument/2006/relationships/hyperlink" Target="mailto:slave.mladenovski@lrcp.org.mk" TargetMode="External"/><Relationship Id="rId9" Type="http://schemas.openxmlformats.org/officeDocument/2006/relationships/hyperlink" Target="mailto:omniaproekt@gmail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dcterms:created xsi:type="dcterms:W3CDTF">2019-05-30T13:28:20Z</dcterms:created>
  <dcterms:modified xsi:type="dcterms:W3CDTF">2019-05-30T13:28:20Z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2019-05-30T00:00:00Z</vt:filetime>
  </property>
</Properties>
</file>