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1"/>
        <w:gridCol w:w="159"/>
        <w:gridCol w:w="3757"/>
        <w:gridCol w:w="2742"/>
      </w:tblGrid>
      <w:tr>
        <w:trPr>
          <w:trHeight w:val="710" w:hRule="atLeast"/>
        </w:trPr>
        <w:tc>
          <w:tcPr>
            <w:tcW w:w="9239" w:type="dxa"/>
            <w:gridSpan w:val="4"/>
            <w:shd w:val="clear" w:color="auto" w:fill="FCE9D9"/>
          </w:tcPr>
          <w:p>
            <w:pPr>
              <w:pStyle w:val="TableParagraph"/>
              <w:spacing w:before="2"/>
              <w:ind w:left="1420" w:right="1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 and Suggestion Form</w:t>
            </w:r>
          </w:p>
          <w:p>
            <w:pPr>
              <w:pStyle w:val="TableParagraph"/>
              <w:spacing w:before="2"/>
              <w:ind w:left="1463" w:right="143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shd w:fill="000000" w:color="auto" w:val="clear"/>
              </w:rPr>
              <w:t>Consuls, city, cuisine and culture: an early 20th century experience</w:t>
            </w:r>
          </w:p>
        </w:tc>
      </w:tr>
      <w:tr>
        <w:trPr>
          <w:trHeight w:val="7476" w:hRule="atLeast"/>
        </w:trPr>
        <w:tc>
          <w:tcPr>
            <w:tcW w:w="9239" w:type="dxa"/>
            <w:gridSpan w:val="4"/>
          </w:tcPr>
          <w:p>
            <w:pPr>
              <w:pStyle w:val="TableParagraph"/>
              <w:ind w:right="54" w:firstLine="587"/>
              <w:jc w:val="both"/>
              <w:rPr>
                <w:sz w:val="20"/>
              </w:rPr>
            </w:pPr>
            <w:r>
              <w:rPr>
                <w:sz w:val="20"/>
              </w:rPr>
              <w:t>OMNIA Proekt LLC Bitola, subsidiary Hotel Teatar Bitola, within the </w:t>
            </w:r>
            <w:r>
              <w:rPr>
                <w:b/>
                <w:sz w:val="20"/>
              </w:rPr>
              <w:t>“Local and Regional Competitiveness Project“ </w:t>
            </w:r>
            <w:r>
              <w:rPr>
                <w:sz w:val="20"/>
              </w:rPr>
              <w:t>supported by </w:t>
            </w:r>
            <w:r>
              <w:rPr>
                <w:b/>
                <w:sz w:val="20"/>
              </w:rPr>
              <w:t>EU, World Bank and Ministry for Finance of RM</w:t>
            </w:r>
            <w:r>
              <w:rPr>
                <w:sz w:val="20"/>
              </w:rPr>
              <w:t>, project component „Investment in tourism-related infrastructure and linkages at destinations“, prepared and submitted a project proposal called </w:t>
            </w:r>
            <w:r>
              <w:rPr>
                <w:b/>
                <w:sz w:val="20"/>
              </w:rPr>
              <w:t>„</w:t>
            </w:r>
            <w:r>
              <w:rPr>
                <w:b/>
                <w:color w:val="FFFFFF"/>
                <w:sz w:val="20"/>
                <w:shd w:fill="000000" w:color="auto" w:val="clear"/>
              </w:rPr>
              <w:t> Consuls, city, cuisine and</w:t>
            </w:r>
            <w:r>
              <w:rPr>
                <w:b/>
                <w:color w:val="FFFFFF"/>
                <w:sz w:val="20"/>
              </w:rPr>
              <w:t> </w:t>
            </w:r>
            <w:r>
              <w:rPr>
                <w:b/>
                <w:color w:val="FFFFFF"/>
                <w:sz w:val="20"/>
                <w:shd w:fill="000000" w:color="auto" w:val="clear"/>
              </w:rPr>
              <w:t>culture: an early 20th century experience</w:t>
            </w:r>
            <w:r>
              <w:rPr>
                <w:b/>
                <w:color w:val="FFFFFF"/>
                <w:sz w:val="20"/>
              </w:rPr>
              <w:t> </w:t>
            </w:r>
            <w:r>
              <w:rPr>
                <w:b/>
                <w:sz w:val="20"/>
              </w:rPr>
              <w:t>“for </w:t>
            </w:r>
            <w:r>
              <w:rPr>
                <w:sz w:val="20"/>
              </w:rPr>
              <w:t>obtaining grant for financing the project.</w:t>
            </w:r>
          </w:p>
          <w:p>
            <w:pPr>
              <w:pStyle w:val="TableParagraph"/>
              <w:ind w:right="58" w:firstLine="58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main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goal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strengthen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tourist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potential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municipality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Bitola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south-west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region, by increasing the volume and quality of the tourist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offer.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54" w:firstLine="587"/>
              <w:jc w:val="both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proposal,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Teatar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Bitola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prepared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Cultural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Checklist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 the project </w:t>
            </w:r>
            <w:r>
              <w:rPr>
                <w:b/>
                <w:sz w:val="20"/>
              </w:rPr>
              <w:t>“</w:t>
            </w:r>
            <w:r>
              <w:rPr>
                <w:b/>
                <w:color w:val="FFFFFF"/>
                <w:sz w:val="20"/>
                <w:shd w:fill="000000" w:color="auto" w:val="clear"/>
              </w:rPr>
              <w:t>Consuls, city, cuisine and culture: an early 20th century experience</w:t>
            </w:r>
            <w:r>
              <w:rPr>
                <w:b/>
                <w:color w:val="FFFFFF"/>
                <w:sz w:val="20"/>
              </w:rPr>
              <w:t> </w:t>
            </w:r>
            <w:r>
              <w:rPr>
                <w:b/>
                <w:sz w:val="20"/>
              </w:rPr>
              <w:t>“ </w:t>
            </w:r>
            <w:r>
              <w:rPr>
                <w:sz w:val="20"/>
              </w:rPr>
              <w:t>in order to identify and estimate the potential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impacts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activities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renovating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town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house,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making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show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(demonstrative)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kitchen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with cooking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stations,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furnishing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multifunctional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hall</w:t>
            </w:r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also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contains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measures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prevention,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minimization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 mitigation of the possible negative impacts from the realization of the planned project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activities.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Electronic version of the Cultural Heritage Management Plan is available at:</w:t>
            </w:r>
          </w:p>
          <w:p>
            <w:pPr>
              <w:pStyle w:val="TableParagraph"/>
              <w:spacing w:before="60"/>
              <w:ind w:left="352" w:right="5534"/>
              <w:rPr>
                <w:sz w:val="20"/>
              </w:rPr>
            </w:pPr>
            <w:r>
              <w:rPr>
                <w:sz w:val="20"/>
              </w:rPr>
              <w:t>Project Implementation Unit 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www.lrcp.mk</w:t>
              </w:r>
            </w:hyperlink>
            <w:r>
              <w:rPr>
                <w:color w:val="0000FF"/>
                <w:sz w:val="20"/>
              </w:rPr>
              <w:t> </w:t>
            </w:r>
            <w:r>
              <w:rPr>
                <w:sz w:val="20"/>
              </w:rPr>
              <w:t>Hotel Teatar: </w:t>
            </w:r>
            <w:r>
              <w:rPr>
                <w:color w:val="0000FF"/>
                <w:sz w:val="20"/>
                <w:u w:val="single" w:color="0000FF"/>
              </w:rPr>
              <w:t>hotelteatar.com</w:t>
            </w:r>
          </w:p>
          <w:p>
            <w:pPr>
              <w:pStyle w:val="TableParagraph"/>
              <w:spacing w:line="229" w:lineRule="exact"/>
              <w:ind w:left="352"/>
              <w:rPr>
                <w:sz w:val="20"/>
              </w:rPr>
            </w:pPr>
            <w:r>
              <w:rPr>
                <w:sz w:val="20"/>
              </w:rPr>
              <w:t>Agency for Promotion and Support of Tourism in Macedonia: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www.tourismmacedonia.gov.mk</w:t>
              </w:r>
            </w:hyperlink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Hard copy of the the Cultural Heritage Management Plan is available at these locations: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13" w:val="left" w:leader="none"/>
                <w:tab w:pos="1114" w:val="left" w:leader="none"/>
              </w:tabs>
              <w:spacing w:line="229" w:lineRule="exact" w:before="1" w:after="0"/>
              <w:ind w:left="111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Project Implementation Unit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(PIU)</w:t>
            </w:r>
          </w:p>
          <w:p>
            <w:pPr>
              <w:pStyle w:val="TableParagraph"/>
              <w:ind w:left="1113" w:right="4015"/>
              <w:rPr>
                <w:sz w:val="20"/>
              </w:rPr>
            </w:pPr>
            <w:r>
              <w:rPr>
                <w:sz w:val="20"/>
              </w:rPr>
              <w:t>Local and Regional Competitiveness Project (LRKP) Address: ul. Gjuro Gjakovich no. 60/1, Skopje Telephone: 02 32 53 818</w:t>
            </w:r>
          </w:p>
          <w:p>
            <w:pPr>
              <w:pStyle w:val="TableParagraph"/>
              <w:ind w:left="1113" w:right="4916"/>
              <w:rPr>
                <w:sz w:val="20"/>
              </w:rPr>
            </w:pPr>
            <w:r>
              <w:rPr>
                <w:sz w:val="20"/>
              </w:rPr>
              <w:t>Cultural Heritage Expert: Slave Mladenovski E-mail: 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slave.mladenovski@lrcp.org.mk</w:t>
              </w:r>
            </w:hyperlink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13" w:val="left" w:leader="none"/>
                <w:tab w:pos="1114" w:val="left" w:leader="none"/>
              </w:tabs>
              <w:spacing w:line="229" w:lineRule="exact" w:before="2" w:after="0"/>
              <w:ind w:left="111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Hotel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Teatar</w:t>
            </w:r>
          </w:p>
          <w:p>
            <w:pPr>
              <w:pStyle w:val="TableParagraph"/>
              <w:ind w:left="1039" w:right="5526" w:firstLine="74"/>
              <w:rPr>
                <w:sz w:val="20"/>
              </w:rPr>
            </w:pPr>
            <w:r>
              <w:rPr>
                <w:sz w:val="20"/>
              </w:rPr>
              <w:t>Address: 35 Stiv Naumov str, Bitola Telephone: 047/610-188</w:t>
            </w:r>
          </w:p>
          <w:p>
            <w:pPr>
              <w:pStyle w:val="TableParagraph"/>
              <w:ind w:left="1039"/>
              <w:rPr>
                <w:sz w:val="20"/>
              </w:rPr>
            </w:pPr>
            <w:r>
              <w:rPr>
                <w:sz w:val="20"/>
              </w:rPr>
              <w:t>Person in charge: MA Ivana Skalidis, front desk manager</w:t>
            </w:r>
          </w:p>
          <w:p>
            <w:pPr>
              <w:pStyle w:val="TableParagraph"/>
              <w:ind w:left="1084"/>
              <w:rPr>
                <w:sz w:val="20"/>
              </w:rPr>
            </w:pPr>
            <w:r>
              <w:rPr>
                <w:sz w:val="20"/>
              </w:rPr>
              <w:t>Е-mail: 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omniaproekt@gmail.com</w:t>
              </w:r>
            </w:hyperlink>
          </w:p>
        </w:tc>
      </w:tr>
      <w:tr>
        <w:trPr>
          <w:trHeight w:val="688" w:hRule="atLeast"/>
        </w:trPr>
        <w:tc>
          <w:tcPr>
            <w:tcW w:w="9239" w:type="dxa"/>
            <w:gridSpan w:val="4"/>
            <w:shd w:val="clear" w:color="auto" w:fill="DAEDF3"/>
          </w:tcPr>
          <w:p>
            <w:pPr>
              <w:pStyle w:val="TableParagraph"/>
              <w:ind w:firstLine="587"/>
              <w:rPr>
                <w:b/>
                <w:sz w:val="20"/>
              </w:rPr>
            </w:pPr>
            <w:r>
              <w:rPr>
                <w:b/>
                <w:sz w:val="20"/>
              </w:rPr>
              <w:t>Please,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comment/suggestion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amendment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proposed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measures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Cultural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Heritage Management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submit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persons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period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least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14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days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publication</w:t>
            </w:r>
          </w:p>
          <w:p>
            <w:pPr>
              <w:pStyle w:val="TableParagraph"/>
              <w:tabs>
                <w:tab w:pos="5688" w:val="left" w:leader="none"/>
              </w:tabs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of the Cultural Heritage Management Plan. (date</w:t>
            </w:r>
            <w:r>
              <w:rPr>
                <w:b/>
                <w:spacing w:val="-19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publication:</w:t>
            </w:r>
            <w:r>
              <w:rPr>
                <w:b/>
                <w:sz w:val="20"/>
                <w:u w:val="single"/>
              </w:rPr>
              <w:t> </w:t>
              <w:tab/>
            </w:r>
            <w:r>
              <w:rPr>
                <w:b/>
                <w:sz w:val="20"/>
              </w:rPr>
              <w:t>).</w:t>
            </w:r>
          </w:p>
        </w:tc>
      </w:tr>
      <w:tr>
        <w:trPr>
          <w:trHeight w:val="227" w:hRule="atLeast"/>
        </w:trPr>
        <w:tc>
          <w:tcPr>
            <w:tcW w:w="6497" w:type="dxa"/>
            <w:gridSpan w:val="3"/>
            <w:shd w:val="clear" w:color="auto" w:fill="E4DFEB"/>
          </w:tcPr>
          <w:p>
            <w:pPr>
              <w:pStyle w:val="TableParagraph"/>
              <w:spacing w:line="208" w:lineRule="exact"/>
              <w:ind w:left="633"/>
              <w:rPr>
                <w:b/>
                <w:sz w:val="20"/>
              </w:rPr>
            </w:pPr>
            <w:r>
              <w:rPr>
                <w:b/>
                <w:sz w:val="20"/>
              </w:rPr>
              <w:t>Please send your comments on the Cultural Heritage Management Plan for</w:t>
            </w:r>
          </w:p>
        </w:tc>
        <w:tc>
          <w:tcPr>
            <w:tcW w:w="2742" w:type="dxa"/>
            <w:shd w:val="clear" w:color="auto" w:fill="000000"/>
          </w:tcPr>
          <w:p>
            <w:pPr>
              <w:pStyle w:val="TableParagraph"/>
              <w:spacing w:line="208" w:lineRule="exact"/>
              <w:ind w:left="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Consuls, city, cuisine and culture:</w:t>
            </w:r>
          </w:p>
        </w:tc>
      </w:tr>
      <w:tr>
        <w:trPr>
          <w:trHeight w:val="230" w:hRule="atLeast"/>
        </w:trPr>
        <w:tc>
          <w:tcPr>
            <w:tcW w:w="2740" w:type="dxa"/>
            <w:gridSpan w:val="2"/>
            <w:shd w:val="clear" w:color="auto" w:fill="000000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an early 20th century experience</w:t>
            </w:r>
          </w:p>
        </w:tc>
        <w:tc>
          <w:tcPr>
            <w:tcW w:w="6499" w:type="dxa"/>
            <w:gridSpan w:val="2"/>
            <w:shd w:val="clear" w:color="auto" w:fill="E4DFEB"/>
          </w:tcPr>
          <w:p>
            <w:pPr>
              <w:pStyle w:val="TableParagraph"/>
              <w:spacing w:line="210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to the listed e-mails, or in the premises of Hotel Teatar Bitola and/or Project</w:t>
            </w:r>
          </w:p>
        </w:tc>
      </w:tr>
      <w:tr>
        <w:trPr>
          <w:trHeight w:val="921" w:hRule="atLeast"/>
        </w:trPr>
        <w:tc>
          <w:tcPr>
            <w:tcW w:w="9239" w:type="dxa"/>
            <w:gridSpan w:val="4"/>
            <w:shd w:val="clear" w:color="auto" w:fill="E4DFEB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Implementation Unit.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33"/>
              <w:rPr>
                <w:b/>
                <w:sz w:val="20"/>
              </w:rPr>
            </w:pPr>
            <w:r>
              <w:rPr>
                <w:b/>
                <w:sz w:val="20"/>
              </w:rPr>
              <w:t>Thank you in advance</w:t>
            </w:r>
          </w:p>
        </w:tc>
      </w:tr>
      <w:tr>
        <w:trPr>
          <w:trHeight w:val="466" w:hRule="atLeast"/>
        </w:trPr>
        <w:tc>
          <w:tcPr>
            <w:tcW w:w="9239" w:type="dxa"/>
            <w:gridSpan w:val="4"/>
          </w:tcPr>
          <w:p>
            <w:pPr>
              <w:pStyle w:val="TableParagraph"/>
              <w:tabs>
                <w:tab w:pos="2721" w:val="left" w:leader="none"/>
              </w:tabs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Reference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number: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spacing w:line="213" w:lineRule="exact" w:before="1"/>
              <w:rPr>
                <w:sz w:val="20"/>
              </w:rPr>
            </w:pPr>
            <w:r>
              <w:rPr>
                <w:sz w:val="20"/>
              </w:rPr>
              <w:t>(to be filled by the project)</w:t>
            </w:r>
          </w:p>
        </w:tc>
      </w:tr>
      <w:tr>
        <w:trPr>
          <w:trHeight w:val="678" w:hRule="atLeast"/>
        </w:trPr>
        <w:tc>
          <w:tcPr>
            <w:tcW w:w="2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First and Last name*</w:t>
            </w:r>
          </w:p>
        </w:tc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605" w:hRule="atLeast"/>
        </w:trPr>
        <w:tc>
          <w:tcPr>
            <w:tcW w:w="258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7"/>
              <w:rPr>
                <w:b/>
                <w:sz w:val="20"/>
              </w:rPr>
            </w:pPr>
            <w:r>
              <w:rPr>
                <w:b/>
                <w:sz w:val="20"/>
              </w:rPr>
              <w:t>Contact information*</w:t>
            </w:r>
          </w:p>
        </w:tc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27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Е-mail:</w:t>
            </w: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" w:lineRule="exact"/>
              <w:ind w:left="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36.8pt;height:.5pt;mso-position-horizontal-relative:char;mso-position-vertical-relative:line" coordorigin="0,0" coordsize="2736,10">
                  <v:line style="position:absolute" from="0,5" to="2736,5" stroked="true" strokeweight=".498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Telephone: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869184" from="209.690002pt,695.651978pt" to="346.488809pt,695.651978pt" stroked="true" strokeweight=".498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2240" w:h="15840"/>
          <w:pgMar w:footer="649" w:top="1140" w:bottom="840" w:left="1340" w:right="1380"/>
          <w:pgNumType w:start="1"/>
        </w:sectPr>
      </w:pPr>
    </w:p>
    <w:p>
      <w:pPr>
        <w:pStyle w:val="BodyText"/>
        <w:ind w:right="-15"/>
        <w:rPr>
          <w:rFonts w:ascii="Times New Roman"/>
        </w:rPr>
      </w:pPr>
      <w:r>
        <w:rPr>
          <w:rFonts w:ascii="Times New Roman"/>
        </w:rPr>
        <w:pict>
          <v:group style="width:468.1pt;height:210.45pt;mso-position-horizontal-relative:char;mso-position-vertical-relative:line" coordorigin="0,0" coordsize="9362,4209">
            <v:rect style="position:absolute;left:9;top:12;width:9343;height:2984" filled="true" fillcolor="#f1f1f1" stroked="false">
              <v:fill type="solid"/>
            </v:rect>
            <v:rect style="position:absolute;left:112;top:12;width:9136;height:228" filled="true" fillcolor="#f1f1f1" stroked="false">
              <v:fill type="solid"/>
            </v:rect>
            <v:rect style="position:absolute;left:112;top:240;width:9136;height:231" filled="true" fillcolor="#f1f1f1" stroked="false">
              <v:fill type="solid"/>
            </v:rect>
            <v:rect style="position:absolute;left:112;top:470;width:9136;height:231" filled="true" fillcolor="#f1f1f1" stroked="false">
              <v:fill type="solid"/>
            </v:rect>
            <v:rect style="position:absolute;left:112;top:701;width:9136;height:228" filled="true" fillcolor="#f1f1f1" stroked="false">
              <v:fill type="solid"/>
            </v:rect>
            <v:rect style="position:absolute;left:112;top:929;width:9136;height:231" filled="true" fillcolor="#f1f1f1" stroked="false">
              <v:fill type="solid"/>
            </v:rect>
            <v:rect style="position:absolute;left:112;top:1159;width:9136;height:228" filled="true" fillcolor="#f1f1f1" stroked="false">
              <v:fill type="solid"/>
            </v:rect>
            <v:rect style="position:absolute;left:112;top:1387;width:9136;height:231" filled="true" fillcolor="#f1f1f1" stroked="false">
              <v:fill type="solid"/>
            </v:rect>
            <v:rect style="position:absolute;left:112;top:1618;width:9136;height:231" filled="true" fillcolor="#f1f1f1" stroked="false">
              <v:fill type="solid"/>
            </v:rect>
            <v:rect style="position:absolute;left:112;top:1848;width:9136;height:228" filled="true" fillcolor="#f1f1f1" stroked="false">
              <v:fill type="solid"/>
            </v:rect>
            <v:rect style="position:absolute;left:112;top:2076;width:9136;height:231" filled="true" fillcolor="#f1f1f1" stroked="false">
              <v:fill type="solid"/>
            </v:rect>
            <v:rect style="position:absolute;left:112;top:2306;width:9136;height:231" filled="true" fillcolor="#f1f1f1" stroked="false">
              <v:fill type="solid"/>
            </v:rect>
            <v:rect style="position:absolute;left:112;top:2537;width:9136;height:228" filled="true" fillcolor="#f1f1f1" stroked="false">
              <v:fill type="solid"/>
            </v:rect>
            <v:rect style="position:absolute;left:112;top:2765;width:9136;height:231" filled="true" fillcolor="#f1f1f1" stroked="false">
              <v:fill type="solid"/>
            </v:rect>
            <v:line style="position:absolute" from="10,5" to="9352,5" stroked="true" strokeweight=".48pt" strokecolor="#000000">
              <v:stroke dashstyle="solid"/>
            </v:line>
            <v:rect style="position:absolute;left:9;top:3005;width:4551;height:1194" filled="true" fillcolor="#f1f1f1" stroked="false">
              <v:fill type="solid"/>
            </v:rect>
            <v:rect style="position:absolute;left:112;top:3005;width:4345;height:231" filled="true" fillcolor="#f1f1f1" stroked="false">
              <v:fill type="solid"/>
            </v:rect>
            <v:rect style="position:absolute;left:112;top:3235;width:4345;height:228" filled="true" fillcolor="#f1f1f1" stroked="false">
              <v:fill type="solid"/>
            </v:rect>
            <v:rect style="position:absolute;left:112;top:3463;width:4345;height:231" filled="true" fillcolor="#f1f1f1" stroked="false">
              <v:fill type="solid"/>
            </v:rect>
            <v:rect style="position:absolute;left:112;top:3694;width:4345;height:229" filled="true" fillcolor="#f1f1f1" stroked="false">
              <v:fill type="solid"/>
            </v:rect>
            <v:line style="position:absolute" from="113,3899" to="2119,3899" stroked="true" strokeweight=".498pt" strokecolor="#000000">
              <v:stroke dashstyle="solid"/>
            </v:line>
            <v:rect style="position:absolute;left:4570;top:3005;width:4782;height:1194" filled="true" fillcolor="#f1f1f1" stroked="false">
              <v:fill type="solid"/>
            </v:rect>
            <v:rect style="position:absolute;left:4673;top:3005;width:4576;height:231" filled="true" fillcolor="#f1f1f1" stroked="false">
              <v:fill type="solid"/>
            </v:rect>
            <v:rect style="position:absolute;left:4673;top:3235;width:4576;height:228" filled="true" fillcolor="#f1f1f1" stroked="false">
              <v:fill type="solid"/>
            </v:rect>
            <v:rect style="position:absolute;left:4673;top:3463;width:4576;height:231" filled="true" fillcolor="#f1f1f1" stroked="false">
              <v:fill type="solid"/>
            </v:rect>
            <v:rect style="position:absolute;left:4673;top:3694;width:4576;height:229" filled="true" fillcolor="#f1f1f1" stroked="false">
              <v:fill type="solid"/>
            </v:rect>
            <v:line style="position:absolute" from="4673,3899" to="6497,3899" stroked="true" strokeweight=".498pt" strokecolor="#000000">
              <v:stroke dashstyle="solid"/>
            </v:line>
            <v:line style="position:absolute" from="10,3000" to="4560,3000" stroked="true" strokeweight=".48001pt" strokecolor="#000000">
              <v:stroke dashstyle="solid"/>
            </v:line>
            <v:line style="position:absolute" from="4570,3000" to="9352,3000" stroked="true" strokeweight=".48001pt" strokecolor="#000000">
              <v:stroke dashstyle="solid"/>
            </v:line>
            <v:line style="position:absolute" from="5,0" to="5,4208" stroked="true" strokeweight=".48pt" strokecolor="#000000">
              <v:stroke dashstyle="solid"/>
            </v:line>
            <v:line style="position:absolute" from="10,4203" to="4560,4203" stroked="true" strokeweight=".48001pt" strokecolor="#000000">
              <v:stroke dashstyle="solid"/>
            </v:line>
            <v:line style="position:absolute" from="4565,2996" to="4565,4208" stroked="true" strokeweight=".48001pt" strokecolor="#000000">
              <v:stroke dashstyle="solid"/>
            </v:line>
            <v:line style="position:absolute" from="4570,4203" to="9352,4203" stroked="true" strokeweight=".48001pt" strokecolor="#000000">
              <v:stroke dashstyle="solid"/>
            </v:line>
            <v:line style="position:absolute" from="9357,0" to="9357,4208" stroked="true" strokeweight=".47998pt" strokecolor="#000000">
              <v:stroke dashstyle="solid"/>
            </v:line>
            <v:shape style="position:absolute;left:4673;top:3006;width:375;height:229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Date</w:t>
                    </w:r>
                  </w:p>
                </w:txbxContent>
              </v:textbox>
              <w10:wrap type="none"/>
            </v:shape>
            <v:shape style="position:absolute;left:112;top:3006;width:775;height:229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112;top:10;width:833;height:229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Comment: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line="175" w:lineRule="exact"/>
      </w:pPr>
      <w:r>
        <w:rPr/>
        <w:t>* Informations in this field is optional</w:t>
      </w:r>
    </w:p>
    <w:sectPr>
      <w:pgSz w:w="12240" w:h="15840"/>
      <w:pgMar w:header="0" w:footer="649" w:top="1140" w:bottom="84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580017pt;margin-top:744.543457pt;width:9.550pt;height:13.15pt;mso-position-horizontal-relative:page;mso-position-vertical-relative:page;z-index:-25187020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40"/>
                  <w:rPr>
                    <w:rFonts w:ascii="Arial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13" w:hanging="360"/>
        <w:jc w:val="left"/>
      </w:pPr>
      <w:rPr>
        <w:rFonts w:hint="default" w:ascii="Arial Narrow" w:hAnsi="Arial Narrow" w:eastAsia="Arial Narrow" w:cs="Arial Narrow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67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79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9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0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1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 Narrow" w:hAnsi="Arial Narrow" w:eastAsia="Arial Narrow" w:cs="Arial Narrow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45"/>
    </w:pPr>
    <w:rPr>
      <w:rFonts w:ascii="Arial Narrow" w:hAnsi="Arial Narrow" w:eastAsia="Arial Narrow" w:cs="Arial Narrow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lrcp.mk/" TargetMode="External"/><Relationship Id="rId7" Type="http://schemas.openxmlformats.org/officeDocument/2006/relationships/hyperlink" Target="http://www.tourismmacedonia.gov.mk/" TargetMode="External"/><Relationship Id="rId8" Type="http://schemas.openxmlformats.org/officeDocument/2006/relationships/hyperlink" Target="mailto:slave.mladenovski@lrcp.org.mk" TargetMode="External"/><Relationship Id="rId9" Type="http://schemas.openxmlformats.org/officeDocument/2006/relationships/hyperlink" Target="mailto:omniaproekt@gmail.com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dcterms:created xsi:type="dcterms:W3CDTF">2019-05-30T13:28:35Z</dcterms:created>
  <dcterms:modified xsi:type="dcterms:W3CDTF">2019-05-30T13:28:35Z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2019-05-30T00:00:00Z</vt:filetime>
  </property>
</Properties>
</file>