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242B0" w14:textId="77777777" w:rsidR="00D222C3" w:rsidRDefault="00D222C3">
      <w:pPr>
        <w:rPr>
          <w:rFonts w:ascii="Times New Roman" w:hAnsi="Times New Roman" w:cs="Times New Roman"/>
          <w:color w:val="244061" w:themeColor="accent1" w:themeShade="80"/>
        </w:rPr>
      </w:pPr>
      <w:bookmarkStart w:id="0" w:name="_GoBack"/>
      <w:bookmarkEnd w:id="0"/>
    </w:p>
    <w:p w14:paraId="1A8242B1" w14:textId="77777777" w:rsidR="00785CE0" w:rsidRPr="00656499" w:rsidRDefault="00D222C3" w:rsidP="002F34AE">
      <w:pPr>
        <w:pStyle w:val="Default"/>
        <w:rPr>
          <w:color w:val="244061" w:themeColor="accent1" w:themeShade="80"/>
          <w:sz w:val="22"/>
          <w:szCs w:val="22"/>
        </w:rPr>
      </w:pPr>
      <w:r w:rsidRPr="00656499">
        <w:rPr>
          <w:color w:val="244061" w:themeColor="accent1" w:themeShade="80"/>
          <w:sz w:val="22"/>
          <w:szCs w:val="22"/>
        </w:rPr>
        <w:t>ANNEX</w:t>
      </w:r>
    </w:p>
    <w:p w14:paraId="1A8242B2" w14:textId="77777777" w:rsidR="00656499" w:rsidRPr="00656499" w:rsidRDefault="00656499" w:rsidP="00656499">
      <w:pPr>
        <w:jc w:val="center"/>
        <w:rPr>
          <w:rFonts w:ascii="Times New Roman" w:hAnsi="Times New Roman" w:cs="Times New Roman"/>
          <w:b/>
        </w:rPr>
      </w:pPr>
      <w:r w:rsidRPr="00656499">
        <w:rPr>
          <w:rFonts w:ascii="Times New Roman" w:hAnsi="Times New Roman" w:cs="Times New Roman"/>
          <w:b/>
        </w:rPr>
        <w:t>Bank’s Policy- Corrupt and Fraudulent Practices</w:t>
      </w:r>
    </w:p>
    <w:p w14:paraId="1A8242B3" w14:textId="77777777" w:rsidR="00656499" w:rsidRPr="00656499" w:rsidRDefault="00656499" w:rsidP="00656499">
      <w:pPr>
        <w:rPr>
          <w:rFonts w:ascii="Times New Roman" w:hAnsi="Times New Roman" w:cs="Times New Roman"/>
          <w:b/>
        </w:rPr>
      </w:pPr>
    </w:p>
    <w:p w14:paraId="1A8242B4" w14:textId="77777777" w:rsidR="00656499" w:rsidRPr="00656499" w:rsidRDefault="00A7549F" w:rsidP="00656499">
      <w:pPr>
        <w:rPr>
          <w:rFonts w:ascii="Times New Roman" w:hAnsi="Times New Roman" w:cs="Times New Roman"/>
        </w:rPr>
      </w:pPr>
      <w:r>
        <w:rPr>
          <w:rFonts w:ascii="Times New Roman" w:hAnsi="Times New Roman" w:cs="Times New Roman"/>
          <w:b/>
          <w:i/>
        </w:rPr>
        <w:t xml:space="preserve">(text </w:t>
      </w:r>
      <w:r w:rsidR="00656499" w:rsidRPr="00656499">
        <w:rPr>
          <w:rFonts w:ascii="Times New Roman" w:hAnsi="Times New Roman" w:cs="Times New Roman"/>
          <w:b/>
          <w:i/>
        </w:rPr>
        <w:t>shall not be modified)</w:t>
      </w:r>
    </w:p>
    <w:p w14:paraId="1A8242B5" w14:textId="77777777" w:rsidR="00656499" w:rsidRPr="00656499" w:rsidRDefault="00656499" w:rsidP="00656499">
      <w:pPr>
        <w:rPr>
          <w:rFonts w:ascii="Times New Roman" w:hAnsi="Times New Roman" w:cs="Times New Roman"/>
          <w:b/>
          <w:highlight w:val="yellow"/>
        </w:rPr>
      </w:pPr>
    </w:p>
    <w:p w14:paraId="1A8242B6" w14:textId="77777777" w:rsidR="00656499" w:rsidRPr="00656499" w:rsidRDefault="00656499" w:rsidP="00656499">
      <w:pPr>
        <w:adjustRightInd w:val="0"/>
        <w:spacing w:after="120"/>
        <w:rPr>
          <w:rFonts w:ascii="Times New Roman" w:hAnsi="Times New Roman" w:cs="Times New Roman"/>
          <w:b/>
        </w:rPr>
      </w:pPr>
      <w:r w:rsidRPr="00656499">
        <w:rPr>
          <w:rFonts w:ascii="Times New Roman" w:hAnsi="Times New Roman" w:cs="Times New Roman"/>
          <w:b/>
        </w:rPr>
        <w:t>Guidelines for Procurement of Goods, Works, and Non-Consulting Services under IBRD Loans and IDA Credits &amp; Grants by World Bank Borrowers, dated January 2011:</w:t>
      </w:r>
    </w:p>
    <w:p w14:paraId="1A8242B7" w14:textId="77777777" w:rsidR="00656499" w:rsidRPr="00656499" w:rsidRDefault="00656499" w:rsidP="00656499">
      <w:pPr>
        <w:adjustRightInd w:val="0"/>
        <w:spacing w:after="120"/>
        <w:ind w:left="540" w:hanging="540"/>
        <w:rPr>
          <w:rFonts w:ascii="Times New Roman" w:hAnsi="Times New Roman" w:cs="Times New Roman"/>
        </w:rPr>
      </w:pPr>
      <w:r w:rsidRPr="00656499">
        <w:rPr>
          <w:rFonts w:ascii="Times New Roman" w:hAnsi="Times New Roman" w:cs="Times New Roman"/>
        </w:rPr>
        <w:t>“</w:t>
      </w:r>
      <w:r w:rsidRPr="00656499">
        <w:rPr>
          <w:rFonts w:ascii="Times New Roman" w:hAnsi="Times New Roman" w:cs="Times New Roman"/>
          <w:b/>
        </w:rPr>
        <w:t>Fraud and Corruption:</w:t>
      </w:r>
    </w:p>
    <w:p w14:paraId="1A8242B8" w14:textId="77777777" w:rsidR="00656499" w:rsidRPr="00656499" w:rsidRDefault="00656499" w:rsidP="00656499">
      <w:pPr>
        <w:pStyle w:val="Default"/>
        <w:spacing w:after="200"/>
        <w:ind w:left="540" w:hanging="540"/>
        <w:jc w:val="both"/>
        <w:rPr>
          <w:sz w:val="22"/>
          <w:szCs w:val="22"/>
        </w:rPr>
      </w:pPr>
      <w:r w:rsidRPr="00656499">
        <w:rPr>
          <w:sz w:val="22"/>
          <w:szCs w:val="22"/>
        </w:rPr>
        <w:t>1.16</w:t>
      </w:r>
      <w:r w:rsidRPr="00656499">
        <w:rPr>
          <w:sz w:val="22"/>
          <w:szCs w:val="22"/>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656499">
        <w:rPr>
          <w:rStyle w:val="FootnoteReference"/>
          <w:sz w:val="22"/>
          <w:szCs w:val="22"/>
        </w:rPr>
        <w:footnoteReference w:id="1"/>
      </w:r>
      <w:r w:rsidRPr="00656499">
        <w:rPr>
          <w:sz w:val="22"/>
          <w:szCs w:val="22"/>
        </w:rPr>
        <w:t xml:space="preserve"> In pursuance of this policy, the Bank: </w:t>
      </w:r>
    </w:p>
    <w:p w14:paraId="1A8242B9" w14:textId="77777777" w:rsidR="00656499" w:rsidRPr="00656499" w:rsidRDefault="00656499" w:rsidP="00656499">
      <w:pPr>
        <w:pStyle w:val="Default"/>
        <w:spacing w:after="200"/>
        <w:ind w:left="1080" w:hanging="540"/>
        <w:jc w:val="both"/>
        <w:rPr>
          <w:sz w:val="22"/>
          <w:szCs w:val="22"/>
        </w:rPr>
      </w:pPr>
      <w:r w:rsidRPr="00656499">
        <w:rPr>
          <w:sz w:val="22"/>
          <w:szCs w:val="22"/>
        </w:rPr>
        <w:t>(a)</w:t>
      </w:r>
      <w:r w:rsidRPr="00656499">
        <w:rPr>
          <w:sz w:val="22"/>
          <w:szCs w:val="22"/>
        </w:rPr>
        <w:tab/>
        <w:t xml:space="preserve">defines, for the purposes of this provision, the terms set forth below as follows: </w:t>
      </w:r>
    </w:p>
    <w:p w14:paraId="1A8242BA" w14:textId="77777777" w:rsidR="00656499" w:rsidRPr="00656499" w:rsidRDefault="00656499" w:rsidP="00656499">
      <w:pPr>
        <w:adjustRightInd w:val="0"/>
        <w:ind w:left="1800" w:hanging="720"/>
        <w:jc w:val="both"/>
        <w:rPr>
          <w:rFonts w:ascii="Times New Roman" w:hAnsi="Times New Roman" w:cs="Times New Roman"/>
        </w:rPr>
      </w:pPr>
      <w:r w:rsidRPr="00656499">
        <w:rPr>
          <w:rFonts w:ascii="Times New Roman" w:hAnsi="Times New Roman" w:cs="Times New Roman"/>
        </w:rPr>
        <w:t>(i)</w:t>
      </w:r>
      <w:r w:rsidRPr="00656499">
        <w:rPr>
          <w:rFonts w:ascii="Times New Roman" w:hAnsi="Times New Roman" w:cs="Times New Roman"/>
        </w:rPr>
        <w:tab/>
        <w:t>“corrupt practice” is the offering, giving, receiving, or soliciting, directly or indirectly, of anything of value to influence improperly the actions of another party;</w:t>
      </w:r>
      <w:r w:rsidRPr="00656499">
        <w:rPr>
          <w:rStyle w:val="FootnoteReference"/>
          <w:rFonts w:ascii="Times New Roman" w:hAnsi="Times New Roman" w:cs="Times New Roman"/>
        </w:rPr>
        <w:footnoteReference w:id="2"/>
      </w:r>
      <w:r w:rsidRPr="00656499">
        <w:rPr>
          <w:rFonts w:ascii="Times New Roman" w:hAnsi="Times New Roman" w:cs="Times New Roman"/>
        </w:rPr>
        <w:t>;</w:t>
      </w:r>
    </w:p>
    <w:p w14:paraId="1A8242BB" w14:textId="77777777" w:rsidR="00656499" w:rsidRPr="00656499" w:rsidRDefault="00656499" w:rsidP="00656499">
      <w:pPr>
        <w:adjustRightInd w:val="0"/>
        <w:ind w:left="1800" w:hanging="720"/>
        <w:jc w:val="both"/>
        <w:rPr>
          <w:rFonts w:ascii="Times New Roman" w:hAnsi="Times New Roman" w:cs="Times New Roman"/>
        </w:rPr>
      </w:pPr>
      <w:r w:rsidRPr="00656499">
        <w:rPr>
          <w:rFonts w:ascii="Times New Roman" w:hAnsi="Times New Roman" w:cs="Times New Roman"/>
        </w:rPr>
        <w:t xml:space="preserve">(ii) </w:t>
      </w:r>
      <w:r w:rsidRPr="00656499">
        <w:rPr>
          <w:rFonts w:ascii="Times New Roman" w:hAnsi="Times New Roman" w:cs="Times New Roman"/>
        </w:rPr>
        <w:tab/>
        <w:t>“fraudulent practice” is any act or omission, including a misrepresentation, that knowingly or recklessly misleads, or attempts to mislead, a party to obtain a financial or other benefit or to avoid an obligation;</w:t>
      </w:r>
      <w:r w:rsidRPr="00656499">
        <w:rPr>
          <w:rStyle w:val="FootnoteReference"/>
          <w:rFonts w:ascii="Times New Roman" w:hAnsi="Times New Roman" w:cs="Times New Roman"/>
        </w:rPr>
        <w:footnoteReference w:id="3"/>
      </w:r>
    </w:p>
    <w:p w14:paraId="1A8242BC" w14:textId="77777777" w:rsidR="00656499" w:rsidRPr="00656499" w:rsidRDefault="00656499" w:rsidP="00656499">
      <w:pPr>
        <w:adjustRightInd w:val="0"/>
        <w:ind w:left="1800" w:hanging="720"/>
        <w:jc w:val="both"/>
        <w:rPr>
          <w:rFonts w:ascii="Times New Roman" w:hAnsi="Times New Roman" w:cs="Times New Roman"/>
        </w:rPr>
      </w:pPr>
      <w:r w:rsidRPr="00656499">
        <w:rPr>
          <w:rFonts w:ascii="Times New Roman" w:hAnsi="Times New Roman" w:cs="Times New Roman"/>
        </w:rPr>
        <w:t>(iii)</w:t>
      </w:r>
      <w:r w:rsidRPr="00656499">
        <w:rPr>
          <w:rFonts w:ascii="Times New Roman" w:hAnsi="Times New Roman" w:cs="Times New Roman"/>
        </w:rPr>
        <w:tab/>
        <w:t>“collusive practice” is an arrangement between two or more parties designed to achieve an improper purpose, including to influence improperly the actions of another party;</w:t>
      </w:r>
      <w:r w:rsidRPr="00656499">
        <w:rPr>
          <w:rStyle w:val="FootnoteReference"/>
          <w:rFonts w:ascii="Times New Roman" w:hAnsi="Times New Roman" w:cs="Times New Roman"/>
        </w:rPr>
        <w:footnoteReference w:id="4"/>
      </w:r>
    </w:p>
    <w:p w14:paraId="1A8242BD" w14:textId="77777777" w:rsidR="00656499" w:rsidRPr="00656499" w:rsidRDefault="00656499" w:rsidP="00656499">
      <w:pPr>
        <w:adjustRightInd w:val="0"/>
        <w:ind w:left="1800" w:hanging="720"/>
        <w:jc w:val="both"/>
        <w:rPr>
          <w:rFonts w:ascii="Times New Roman" w:hAnsi="Times New Roman" w:cs="Times New Roman"/>
        </w:rPr>
      </w:pPr>
      <w:r w:rsidRPr="00656499">
        <w:rPr>
          <w:rFonts w:ascii="Times New Roman" w:hAnsi="Times New Roman" w:cs="Times New Roman"/>
        </w:rPr>
        <w:t>(iv)</w:t>
      </w:r>
      <w:r w:rsidRPr="00656499">
        <w:rPr>
          <w:rFonts w:ascii="Times New Roman" w:hAnsi="Times New Roman" w:cs="Times New Roman"/>
        </w:rPr>
        <w:tab/>
        <w:t>“coercive practice” is impairing or harming, or threatening to impair or harm, directly or indirectly, any party or the property of the party to influence improperly the actions of a party;</w:t>
      </w:r>
      <w:r w:rsidRPr="00656499">
        <w:rPr>
          <w:rStyle w:val="FootnoteReference"/>
          <w:rFonts w:ascii="Times New Roman" w:hAnsi="Times New Roman" w:cs="Times New Roman"/>
        </w:rPr>
        <w:footnoteReference w:id="5"/>
      </w:r>
    </w:p>
    <w:p w14:paraId="1A8242BE" w14:textId="77777777" w:rsidR="00656499" w:rsidRPr="00656499" w:rsidRDefault="00656499" w:rsidP="00656499">
      <w:pPr>
        <w:adjustRightInd w:val="0"/>
        <w:ind w:left="1800" w:hanging="720"/>
        <w:rPr>
          <w:rFonts w:ascii="Times New Roman" w:hAnsi="Times New Roman" w:cs="Times New Roman"/>
          <w:color w:val="000000"/>
        </w:rPr>
      </w:pPr>
      <w:r w:rsidRPr="00656499">
        <w:rPr>
          <w:rFonts w:ascii="Times New Roman" w:hAnsi="Times New Roman" w:cs="Times New Roman"/>
          <w:bCs/>
          <w:color w:val="000000"/>
        </w:rPr>
        <w:t>(v)</w:t>
      </w:r>
      <w:r w:rsidRPr="00656499">
        <w:rPr>
          <w:rFonts w:ascii="Times New Roman" w:hAnsi="Times New Roman" w:cs="Times New Roman"/>
          <w:bCs/>
          <w:color w:val="000000"/>
        </w:rPr>
        <w:tab/>
        <w:t>"</w:t>
      </w:r>
      <w:r w:rsidRPr="00656499">
        <w:rPr>
          <w:rFonts w:ascii="Times New Roman" w:hAnsi="Times New Roman" w:cs="Times New Roman"/>
        </w:rPr>
        <w:t>obstructive</w:t>
      </w:r>
      <w:r w:rsidRPr="00656499">
        <w:rPr>
          <w:rFonts w:ascii="Times New Roman" w:hAnsi="Times New Roman" w:cs="Times New Roman"/>
          <w:bCs/>
          <w:color w:val="000000"/>
        </w:rPr>
        <w:t xml:space="preserve"> practice" </w:t>
      </w:r>
      <w:r w:rsidRPr="00656499">
        <w:rPr>
          <w:rFonts w:ascii="Times New Roman" w:hAnsi="Times New Roman" w:cs="Times New Roman"/>
          <w:color w:val="000000"/>
        </w:rPr>
        <w:t>is:</w:t>
      </w:r>
    </w:p>
    <w:p w14:paraId="1A8242BF" w14:textId="77777777" w:rsidR="00656499" w:rsidRPr="00656499" w:rsidRDefault="00656499" w:rsidP="00656499">
      <w:pPr>
        <w:adjustRightInd w:val="0"/>
        <w:ind w:left="2520" w:hanging="720"/>
        <w:jc w:val="both"/>
        <w:rPr>
          <w:rFonts w:ascii="Times New Roman" w:hAnsi="Times New Roman" w:cs="Times New Roman"/>
        </w:rPr>
      </w:pPr>
      <w:r w:rsidRPr="00656499">
        <w:rPr>
          <w:rFonts w:ascii="Times New Roman" w:hAnsi="Times New Roman" w:cs="Times New Roman"/>
          <w:bCs/>
          <w:color w:val="000000"/>
        </w:rPr>
        <w:lastRenderedPageBreak/>
        <w:t>(aa)</w:t>
      </w:r>
      <w:r w:rsidRPr="00656499">
        <w:rPr>
          <w:rFonts w:ascii="Times New Roman" w:hAnsi="Times New Roman" w:cs="Times New Roman"/>
        </w:rPr>
        <w:tab/>
      </w:r>
      <w:r w:rsidRPr="00656499">
        <w:rPr>
          <w:rFonts w:ascii="Times New Roman" w:hAnsi="Times New Roman" w:cs="Times New Roman"/>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A8242C0" w14:textId="77777777" w:rsidR="00656499" w:rsidRPr="00656499" w:rsidRDefault="00656499" w:rsidP="00656499">
      <w:pPr>
        <w:adjustRightInd w:val="0"/>
        <w:ind w:left="2520" w:hanging="720"/>
        <w:jc w:val="both"/>
        <w:rPr>
          <w:rFonts w:ascii="Times New Roman" w:hAnsi="Times New Roman" w:cs="Times New Roman"/>
        </w:rPr>
      </w:pPr>
      <w:r w:rsidRPr="00656499">
        <w:rPr>
          <w:rFonts w:ascii="Times New Roman" w:hAnsi="Times New Roman" w:cs="Times New Roman"/>
          <w:bCs/>
          <w:color w:val="000000"/>
        </w:rPr>
        <w:t>(bb)</w:t>
      </w:r>
      <w:r w:rsidRPr="00656499">
        <w:rPr>
          <w:rFonts w:ascii="Times New Roman" w:hAnsi="Times New Roman" w:cs="Times New Roman"/>
          <w:bCs/>
          <w:color w:val="000000"/>
        </w:rPr>
        <w:tab/>
        <w:t>acts intended to materially impede the exercise of the Bank’s inspection and audit rights provided for under paragraph 1.16(e) below.</w:t>
      </w:r>
    </w:p>
    <w:p w14:paraId="1A8242C1" w14:textId="77777777" w:rsidR="00656499" w:rsidRPr="00656499" w:rsidRDefault="00656499" w:rsidP="00656499">
      <w:pPr>
        <w:pStyle w:val="Default"/>
        <w:spacing w:after="200"/>
        <w:ind w:left="1080" w:hanging="540"/>
        <w:jc w:val="both"/>
        <w:rPr>
          <w:sz w:val="22"/>
          <w:szCs w:val="22"/>
        </w:rPr>
      </w:pPr>
      <w:r w:rsidRPr="00656499">
        <w:rPr>
          <w:sz w:val="22"/>
          <w:szCs w:val="22"/>
        </w:rPr>
        <w:t>(b)</w:t>
      </w:r>
      <w:r w:rsidRPr="00656499">
        <w:rPr>
          <w:sz w:val="22"/>
          <w:szCs w:val="22"/>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1A8242C2" w14:textId="77777777" w:rsidR="00656499" w:rsidRPr="00656499" w:rsidRDefault="00656499" w:rsidP="00656499">
      <w:pPr>
        <w:pStyle w:val="Default"/>
        <w:spacing w:after="200"/>
        <w:ind w:left="1080" w:hanging="540"/>
        <w:jc w:val="both"/>
        <w:rPr>
          <w:sz w:val="22"/>
          <w:szCs w:val="22"/>
        </w:rPr>
      </w:pPr>
      <w:r w:rsidRPr="00656499">
        <w:rPr>
          <w:sz w:val="22"/>
          <w:szCs w:val="22"/>
        </w:rPr>
        <w:t>(c)</w:t>
      </w:r>
      <w:r w:rsidRPr="00656499">
        <w:rPr>
          <w:sz w:val="22"/>
          <w:szCs w:val="22"/>
        </w:rPr>
        <w:tab/>
        <w:t xml:space="preserve">will declare </w:t>
      </w:r>
      <w:proofErr w:type="spellStart"/>
      <w:r w:rsidRPr="00656499">
        <w:rPr>
          <w:sz w:val="22"/>
          <w:szCs w:val="22"/>
        </w:rPr>
        <w:t>misprocurement</w:t>
      </w:r>
      <w:proofErr w:type="spellEnd"/>
      <w:r w:rsidRPr="00656499">
        <w:rPr>
          <w:sz w:val="22"/>
          <w:szCs w:val="22"/>
        </w:rPr>
        <w:t xml:space="preserve">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1A8242C3" w14:textId="77777777" w:rsidR="00656499" w:rsidRPr="00656499" w:rsidRDefault="00656499" w:rsidP="00656499">
      <w:pPr>
        <w:pStyle w:val="Default"/>
        <w:spacing w:after="200"/>
        <w:ind w:left="1080" w:hanging="540"/>
        <w:jc w:val="both"/>
        <w:rPr>
          <w:sz w:val="22"/>
          <w:szCs w:val="22"/>
        </w:rPr>
      </w:pPr>
      <w:r w:rsidRPr="00656499">
        <w:rPr>
          <w:sz w:val="22"/>
          <w:szCs w:val="22"/>
        </w:rPr>
        <w:t>(d)</w:t>
      </w:r>
      <w:r w:rsidRPr="00656499">
        <w:rPr>
          <w:sz w:val="22"/>
          <w:szCs w:val="22"/>
        </w:rPr>
        <w:tab/>
        <w:t>will sanction a firm or individual, at any time, in accordance with the prevailing Bank’s sanctions procedures,</w:t>
      </w:r>
      <w:r w:rsidRPr="00656499">
        <w:rPr>
          <w:sz w:val="22"/>
          <w:szCs w:val="22"/>
          <w:vertAlign w:val="superscript"/>
        </w:rPr>
        <w:footnoteReference w:id="6"/>
      </w:r>
      <w:r w:rsidRPr="00656499">
        <w:rPr>
          <w:sz w:val="22"/>
          <w:szCs w:val="22"/>
        </w:rPr>
        <w:t xml:space="preserve"> including by publicly declaring such firm or individual ineligible, either indefinitely or for a stated period of time: (i) to be awarded a Bank-financed contract; and (ii) to be a nominated</w:t>
      </w:r>
      <w:r w:rsidRPr="00656499">
        <w:rPr>
          <w:sz w:val="22"/>
          <w:szCs w:val="22"/>
          <w:vertAlign w:val="superscript"/>
        </w:rPr>
        <w:footnoteReference w:id="7"/>
      </w:r>
      <w:r w:rsidRPr="00656499">
        <w:rPr>
          <w:sz w:val="22"/>
          <w:szCs w:val="22"/>
        </w:rPr>
        <w:t>;</w:t>
      </w:r>
    </w:p>
    <w:p w14:paraId="1A8242C4" w14:textId="77777777" w:rsidR="00656499" w:rsidRPr="00656499" w:rsidRDefault="00656499" w:rsidP="00656499">
      <w:pPr>
        <w:pStyle w:val="Default"/>
        <w:spacing w:after="200"/>
        <w:ind w:left="1080" w:hanging="540"/>
        <w:jc w:val="both"/>
        <w:rPr>
          <w:sz w:val="22"/>
          <w:szCs w:val="22"/>
        </w:rPr>
      </w:pPr>
      <w:r w:rsidRPr="00656499">
        <w:rPr>
          <w:sz w:val="22"/>
          <w:szCs w:val="22"/>
        </w:rPr>
        <w:t>(e)</w:t>
      </w:r>
      <w:r w:rsidRPr="00656499">
        <w:rPr>
          <w:sz w:val="22"/>
          <w:szCs w:val="22"/>
        </w:rPr>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1A8242C5" w14:textId="77777777" w:rsidR="00D222C3" w:rsidRDefault="00D222C3" w:rsidP="002F34AE">
      <w:pPr>
        <w:pStyle w:val="Default"/>
        <w:rPr>
          <w:color w:val="244061" w:themeColor="accent1" w:themeShade="80"/>
          <w:sz w:val="22"/>
          <w:szCs w:val="22"/>
        </w:rPr>
      </w:pPr>
    </w:p>
    <w:p w14:paraId="1A8242C6" w14:textId="77777777" w:rsidR="00A7549F" w:rsidRDefault="00A7549F" w:rsidP="002F34AE">
      <w:pPr>
        <w:pStyle w:val="Default"/>
        <w:rPr>
          <w:color w:val="244061" w:themeColor="accent1" w:themeShade="80"/>
          <w:sz w:val="22"/>
          <w:szCs w:val="22"/>
        </w:rPr>
      </w:pPr>
    </w:p>
    <w:p w14:paraId="1A8242C7" w14:textId="77777777" w:rsidR="00A7549F" w:rsidRDefault="00A7549F" w:rsidP="002F34AE">
      <w:pPr>
        <w:pStyle w:val="Default"/>
        <w:rPr>
          <w:color w:val="244061" w:themeColor="accent1" w:themeShade="80"/>
          <w:sz w:val="22"/>
          <w:szCs w:val="22"/>
        </w:rPr>
      </w:pPr>
    </w:p>
    <w:p w14:paraId="1A8242C8" w14:textId="77777777" w:rsidR="00A7549F" w:rsidRDefault="00A7549F" w:rsidP="002F34AE">
      <w:pPr>
        <w:pStyle w:val="Default"/>
        <w:rPr>
          <w:color w:val="244061" w:themeColor="accent1" w:themeShade="80"/>
          <w:sz w:val="22"/>
          <w:szCs w:val="22"/>
        </w:rPr>
      </w:pPr>
    </w:p>
    <w:p w14:paraId="1A8242C9" w14:textId="77777777" w:rsidR="00A7549F" w:rsidRDefault="00A7549F" w:rsidP="002F34AE">
      <w:pPr>
        <w:pStyle w:val="Default"/>
        <w:rPr>
          <w:color w:val="244061" w:themeColor="accent1" w:themeShade="80"/>
          <w:sz w:val="22"/>
          <w:szCs w:val="22"/>
        </w:rPr>
      </w:pPr>
    </w:p>
    <w:p w14:paraId="1A8242CA" w14:textId="77777777" w:rsidR="00A7549F" w:rsidRDefault="00A7549F" w:rsidP="002F34AE">
      <w:pPr>
        <w:pStyle w:val="Default"/>
        <w:rPr>
          <w:color w:val="244061" w:themeColor="accent1" w:themeShade="80"/>
          <w:sz w:val="22"/>
          <w:szCs w:val="22"/>
        </w:rPr>
      </w:pPr>
    </w:p>
    <w:p w14:paraId="1A8242CB" w14:textId="77777777" w:rsidR="00A7549F" w:rsidRDefault="00A7549F" w:rsidP="002F34AE">
      <w:pPr>
        <w:pStyle w:val="Default"/>
        <w:rPr>
          <w:color w:val="244061" w:themeColor="accent1" w:themeShade="80"/>
          <w:sz w:val="22"/>
          <w:szCs w:val="22"/>
        </w:rPr>
      </w:pPr>
    </w:p>
    <w:p w14:paraId="1A8242CC" w14:textId="77777777" w:rsidR="00A7549F" w:rsidRDefault="00A7549F" w:rsidP="002F34AE">
      <w:pPr>
        <w:pStyle w:val="Default"/>
        <w:rPr>
          <w:color w:val="244061" w:themeColor="accent1" w:themeShade="80"/>
          <w:sz w:val="22"/>
          <w:szCs w:val="22"/>
        </w:rPr>
      </w:pPr>
    </w:p>
    <w:p w14:paraId="1A8242CD" w14:textId="77777777" w:rsidR="00A7549F" w:rsidRDefault="00A7549F" w:rsidP="002F34AE">
      <w:pPr>
        <w:pStyle w:val="Default"/>
        <w:rPr>
          <w:color w:val="244061" w:themeColor="accent1" w:themeShade="80"/>
          <w:sz w:val="22"/>
          <w:szCs w:val="22"/>
        </w:rPr>
      </w:pPr>
    </w:p>
    <w:p w14:paraId="1A8242CE" w14:textId="77777777" w:rsidR="00A7549F" w:rsidRPr="00A7549F" w:rsidRDefault="00A7549F" w:rsidP="00A7549F">
      <w:pPr>
        <w:autoSpaceDE w:val="0"/>
        <w:autoSpaceDN w:val="0"/>
        <w:adjustRightInd w:val="0"/>
        <w:spacing w:after="0" w:line="240" w:lineRule="auto"/>
        <w:jc w:val="center"/>
        <w:rPr>
          <w:rFonts w:ascii="Times New Roman" w:hAnsi="Times New Roman" w:cs="Times New Roman"/>
          <w:b/>
          <w:bCs/>
          <w:color w:val="000000"/>
        </w:rPr>
      </w:pPr>
      <w:r w:rsidRPr="00656499">
        <w:rPr>
          <w:rFonts w:ascii="Times New Roman" w:hAnsi="Times New Roman" w:cs="Times New Roman"/>
          <w:b/>
        </w:rPr>
        <w:lastRenderedPageBreak/>
        <w:t xml:space="preserve">Bank’s Policy- </w:t>
      </w:r>
      <w:r w:rsidRPr="00A7549F">
        <w:rPr>
          <w:rFonts w:ascii="Times New Roman" w:hAnsi="Times New Roman" w:cs="Times New Roman"/>
          <w:b/>
          <w:bCs/>
          <w:color w:val="000000"/>
        </w:rPr>
        <w:t>Conflict of Interest</w:t>
      </w:r>
      <w:r>
        <w:rPr>
          <w:rFonts w:ascii="Times New Roman" w:hAnsi="Times New Roman" w:cs="Times New Roman"/>
          <w:b/>
          <w:bCs/>
          <w:color w:val="000000"/>
        </w:rPr>
        <w:t xml:space="preserve"> (quote from the Procurement Guidelines)</w:t>
      </w:r>
    </w:p>
    <w:p w14:paraId="1A8242CF" w14:textId="77777777" w:rsidR="00A7549F" w:rsidRPr="00656499" w:rsidRDefault="00A7549F" w:rsidP="00A7549F">
      <w:pPr>
        <w:jc w:val="center"/>
        <w:rPr>
          <w:rFonts w:ascii="Times New Roman" w:hAnsi="Times New Roman" w:cs="Times New Roman"/>
          <w:b/>
        </w:rPr>
      </w:pPr>
    </w:p>
    <w:p w14:paraId="1A8242D0" w14:textId="77777777" w:rsidR="00A7549F" w:rsidRPr="00A7549F" w:rsidRDefault="00A7549F" w:rsidP="00A7549F">
      <w:pPr>
        <w:autoSpaceDE w:val="0"/>
        <w:autoSpaceDN w:val="0"/>
        <w:adjustRightInd w:val="0"/>
        <w:spacing w:after="0" w:line="240" w:lineRule="auto"/>
        <w:rPr>
          <w:rFonts w:ascii="Times New Roman" w:hAnsi="Times New Roman" w:cs="Times New Roman"/>
          <w:color w:val="000000"/>
          <w:sz w:val="23"/>
          <w:szCs w:val="23"/>
        </w:rPr>
      </w:pPr>
    </w:p>
    <w:p w14:paraId="1A8242D1" w14:textId="77777777" w:rsidR="00A7549F" w:rsidRDefault="00A7549F" w:rsidP="00A7549F">
      <w:pPr>
        <w:autoSpaceDE w:val="0"/>
        <w:autoSpaceDN w:val="0"/>
        <w:adjustRightInd w:val="0"/>
        <w:spacing w:after="0" w:line="240" w:lineRule="auto"/>
        <w:rPr>
          <w:rFonts w:ascii="Times New Roman" w:hAnsi="Times New Roman" w:cs="Times New Roman"/>
          <w:color w:val="000000"/>
          <w:sz w:val="23"/>
          <w:szCs w:val="23"/>
        </w:rPr>
      </w:pPr>
      <w:r w:rsidRPr="00A7549F">
        <w:rPr>
          <w:rFonts w:ascii="Times New Roman" w:hAnsi="Times New Roman" w:cs="Times New Roman"/>
          <w:color w:val="000000"/>
          <w:sz w:val="23"/>
          <w:szCs w:val="23"/>
        </w:rPr>
        <w:t xml:space="preserve">1.6 Bank policy requires that a firm participating in a procurement process under Bank-financed projects shall not have a conflict of interest. Any firm found to have a conflict of interest shall be ineligible for award of a contract. </w:t>
      </w:r>
    </w:p>
    <w:p w14:paraId="1A8242D2" w14:textId="77777777" w:rsidR="00A7549F" w:rsidRPr="00A7549F" w:rsidRDefault="00A7549F" w:rsidP="00A7549F">
      <w:pPr>
        <w:autoSpaceDE w:val="0"/>
        <w:autoSpaceDN w:val="0"/>
        <w:adjustRightInd w:val="0"/>
        <w:spacing w:after="0" w:line="240" w:lineRule="auto"/>
        <w:rPr>
          <w:rFonts w:ascii="Times New Roman" w:hAnsi="Times New Roman" w:cs="Times New Roman"/>
          <w:color w:val="000000"/>
          <w:sz w:val="23"/>
          <w:szCs w:val="23"/>
        </w:rPr>
      </w:pPr>
    </w:p>
    <w:p w14:paraId="1A8242D3" w14:textId="77777777" w:rsidR="00A7549F" w:rsidRPr="00A7549F" w:rsidRDefault="00A7549F" w:rsidP="00A7549F">
      <w:pPr>
        <w:autoSpaceDE w:val="0"/>
        <w:autoSpaceDN w:val="0"/>
        <w:adjustRightInd w:val="0"/>
        <w:spacing w:after="0" w:line="240" w:lineRule="auto"/>
        <w:rPr>
          <w:rFonts w:ascii="Times New Roman" w:hAnsi="Times New Roman" w:cs="Times New Roman"/>
          <w:color w:val="000000"/>
          <w:sz w:val="23"/>
          <w:szCs w:val="23"/>
        </w:rPr>
      </w:pPr>
      <w:r w:rsidRPr="00A7549F">
        <w:rPr>
          <w:rFonts w:ascii="Times New Roman" w:hAnsi="Times New Roman" w:cs="Times New Roman"/>
          <w:color w:val="000000"/>
          <w:sz w:val="23"/>
          <w:szCs w:val="23"/>
        </w:rPr>
        <w:t xml:space="preserve">1.7 A firm shall be considered to have a conflict of interest in a procurement process if: </w:t>
      </w:r>
    </w:p>
    <w:p w14:paraId="1A8242D4" w14:textId="77777777" w:rsidR="00A7549F" w:rsidRDefault="00A7549F" w:rsidP="00A7549F">
      <w:pPr>
        <w:autoSpaceDE w:val="0"/>
        <w:autoSpaceDN w:val="0"/>
        <w:adjustRightInd w:val="0"/>
        <w:spacing w:after="0" w:line="240" w:lineRule="auto"/>
        <w:rPr>
          <w:rFonts w:ascii="Times New Roman" w:hAnsi="Times New Roman" w:cs="Times New Roman"/>
          <w:color w:val="000000"/>
          <w:sz w:val="23"/>
          <w:szCs w:val="23"/>
        </w:rPr>
      </w:pPr>
      <w:r w:rsidRPr="00A7549F">
        <w:rPr>
          <w:rFonts w:ascii="Times New Roman" w:hAnsi="Times New Roman" w:cs="Times New Roman"/>
          <w:color w:val="000000"/>
          <w:sz w:val="23"/>
          <w:szCs w:val="23"/>
        </w:rPr>
        <w:t>(a) such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This provision does not apply to the various firms (consultants, contractors, or suppliers) which together are performing the Contractor’s obligations under a turnkey or design and built contract;</w:t>
      </w:r>
      <w:r w:rsidRPr="00A7549F">
        <w:rPr>
          <w:rFonts w:ascii="Times New Roman" w:hAnsi="Times New Roman" w:cs="Times New Roman"/>
          <w:color w:val="000000"/>
          <w:sz w:val="16"/>
          <w:szCs w:val="16"/>
        </w:rPr>
        <w:t xml:space="preserve"> </w:t>
      </w:r>
      <w:r w:rsidRPr="00A7549F">
        <w:rPr>
          <w:rFonts w:ascii="Times New Roman" w:hAnsi="Times New Roman" w:cs="Times New Roman"/>
          <w:color w:val="000000"/>
          <w:sz w:val="23"/>
          <w:szCs w:val="23"/>
        </w:rPr>
        <w:t xml:space="preserve">or </w:t>
      </w:r>
    </w:p>
    <w:p w14:paraId="1A8242D5" w14:textId="77777777" w:rsidR="00A7549F" w:rsidRPr="00A7549F" w:rsidRDefault="00A7549F" w:rsidP="00A7549F">
      <w:pPr>
        <w:autoSpaceDE w:val="0"/>
        <w:autoSpaceDN w:val="0"/>
        <w:adjustRightInd w:val="0"/>
        <w:spacing w:after="0" w:line="240" w:lineRule="auto"/>
        <w:rPr>
          <w:rFonts w:ascii="Times New Roman" w:hAnsi="Times New Roman" w:cs="Times New Roman"/>
          <w:color w:val="000000"/>
          <w:sz w:val="23"/>
          <w:szCs w:val="23"/>
        </w:rPr>
      </w:pPr>
    </w:p>
    <w:p w14:paraId="1A8242D6" w14:textId="77777777" w:rsidR="00A7549F" w:rsidRDefault="00A7549F" w:rsidP="00A7549F">
      <w:pPr>
        <w:autoSpaceDE w:val="0"/>
        <w:autoSpaceDN w:val="0"/>
        <w:adjustRightInd w:val="0"/>
        <w:spacing w:after="0" w:line="240" w:lineRule="auto"/>
        <w:rPr>
          <w:rFonts w:ascii="Times New Roman" w:hAnsi="Times New Roman" w:cs="Times New Roman"/>
          <w:color w:val="000000"/>
          <w:sz w:val="23"/>
          <w:szCs w:val="23"/>
        </w:rPr>
      </w:pPr>
      <w:r w:rsidRPr="00A7549F">
        <w:rPr>
          <w:rFonts w:ascii="Times New Roman" w:hAnsi="Times New Roman" w:cs="Times New Roman"/>
          <w:color w:val="000000"/>
          <w:sz w:val="23"/>
          <w:szCs w:val="23"/>
        </w:rPr>
        <w:t xml:space="preserve">(b) such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Banks’ no objection and as allowed by the Bank’s Standard Bidding Documents applicable to such types of procurement; or </w:t>
      </w:r>
    </w:p>
    <w:p w14:paraId="1A8242D7" w14:textId="77777777" w:rsidR="00A7549F" w:rsidRPr="00A7549F" w:rsidRDefault="00A7549F" w:rsidP="00A7549F">
      <w:pPr>
        <w:autoSpaceDE w:val="0"/>
        <w:autoSpaceDN w:val="0"/>
        <w:adjustRightInd w:val="0"/>
        <w:spacing w:after="0" w:line="240" w:lineRule="auto"/>
        <w:rPr>
          <w:rFonts w:ascii="Times New Roman" w:hAnsi="Times New Roman" w:cs="Times New Roman"/>
          <w:color w:val="000000"/>
          <w:sz w:val="23"/>
          <w:szCs w:val="23"/>
        </w:rPr>
      </w:pPr>
    </w:p>
    <w:p w14:paraId="1A8242D8" w14:textId="77777777" w:rsidR="00A7549F" w:rsidRDefault="00A7549F" w:rsidP="00A7549F">
      <w:pPr>
        <w:autoSpaceDE w:val="0"/>
        <w:autoSpaceDN w:val="0"/>
        <w:adjustRightInd w:val="0"/>
        <w:spacing w:after="0" w:line="240" w:lineRule="auto"/>
        <w:rPr>
          <w:rFonts w:ascii="Times New Roman" w:hAnsi="Times New Roman" w:cs="Times New Roman"/>
          <w:color w:val="000000"/>
          <w:sz w:val="23"/>
          <w:szCs w:val="23"/>
        </w:rPr>
      </w:pPr>
      <w:r w:rsidRPr="00A7549F">
        <w:rPr>
          <w:rFonts w:ascii="Times New Roman" w:hAnsi="Times New Roman" w:cs="Times New Roman"/>
          <w:color w:val="000000"/>
          <w:sz w:val="23"/>
          <w:szCs w:val="23"/>
        </w:rPr>
        <w:t xml:space="preserve">(c) such firm (including its personnel) has a close business or family relationship with a professional staff of the Borrower (or of the project implementing agency, or of a recipient of a part of the loan) who: (i) are directly or indirectly involved in the preparation of the bidding documents or </w:t>
      </w:r>
    </w:p>
    <w:p w14:paraId="1A8242D9" w14:textId="77777777" w:rsidR="00A7549F" w:rsidRDefault="00A7549F" w:rsidP="00A7549F">
      <w:pPr>
        <w:autoSpaceDE w:val="0"/>
        <w:autoSpaceDN w:val="0"/>
        <w:adjustRightInd w:val="0"/>
        <w:spacing w:after="0" w:line="240" w:lineRule="auto"/>
        <w:rPr>
          <w:rFonts w:ascii="Times New Roman" w:hAnsi="Times New Roman" w:cs="Times New Roman"/>
          <w:color w:val="000000"/>
          <w:sz w:val="23"/>
          <w:szCs w:val="23"/>
        </w:rPr>
      </w:pPr>
      <w:r w:rsidRPr="00A7549F">
        <w:rPr>
          <w:rFonts w:ascii="Times New Roman" w:hAnsi="Times New Roman" w:cs="Times New Roman"/>
          <w:color w:val="000000"/>
          <w:sz w:val="23"/>
          <w:szCs w:val="23"/>
        </w:rPr>
        <w:t xml:space="preserve">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 or </w:t>
      </w:r>
    </w:p>
    <w:p w14:paraId="1A8242DA" w14:textId="77777777" w:rsidR="00A7549F" w:rsidRPr="00A7549F" w:rsidRDefault="00A7549F" w:rsidP="00A7549F">
      <w:pPr>
        <w:autoSpaceDE w:val="0"/>
        <w:autoSpaceDN w:val="0"/>
        <w:adjustRightInd w:val="0"/>
        <w:spacing w:after="0" w:line="240" w:lineRule="auto"/>
        <w:rPr>
          <w:rFonts w:ascii="Times New Roman" w:hAnsi="Times New Roman" w:cs="Times New Roman"/>
          <w:color w:val="000000"/>
          <w:sz w:val="23"/>
          <w:szCs w:val="23"/>
        </w:rPr>
      </w:pPr>
    </w:p>
    <w:p w14:paraId="1A8242DB" w14:textId="77777777" w:rsidR="00A7549F" w:rsidRDefault="00A7549F" w:rsidP="00A7549F">
      <w:pPr>
        <w:pStyle w:val="Default"/>
        <w:rPr>
          <w:sz w:val="23"/>
          <w:szCs w:val="23"/>
        </w:rPr>
      </w:pPr>
      <w:r w:rsidRPr="00A7549F">
        <w:rPr>
          <w:sz w:val="23"/>
          <w:szCs w:val="23"/>
        </w:rPr>
        <w:t>(d) such firm does not comply with any other conflict of interest situation as specified in the Bank’s Standard Bidding Documents relevant to the specific procurement process.</w:t>
      </w:r>
    </w:p>
    <w:p w14:paraId="1A8242DC" w14:textId="77777777" w:rsidR="00717E16" w:rsidRDefault="00717E16" w:rsidP="00A7549F">
      <w:pPr>
        <w:pStyle w:val="Default"/>
        <w:rPr>
          <w:sz w:val="23"/>
          <w:szCs w:val="23"/>
        </w:rPr>
      </w:pPr>
    </w:p>
    <w:p w14:paraId="1A8242DD" w14:textId="77777777" w:rsidR="00717E16" w:rsidRDefault="00717E16" w:rsidP="00717E16">
      <w:pPr>
        <w:pStyle w:val="Default"/>
        <w:rPr>
          <w:b/>
          <w:bCs/>
          <w:sz w:val="23"/>
          <w:szCs w:val="23"/>
        </w:rPr>
      </w:pPr>
    </w:p>
    <w:p w14:paraId="1A8242DE" w14:textId="77777777" w:rsidR="00717E16" w:rsidRDefault="00717E16" w:rsidP="00717E16">
      <w:pPr>
        <w:pStyle w:val="Default"/>
        <w:rPr>
          <w:b/>
          <w:bCs/>
          <w:sz w:val="23"/>
          <w:szCs w:val="23"/>
        </w:rPr>
      </w:pPr>
    </w:p>
    <w:p w14:paraId="1A8242DF" w14:textId="77777777" w:rsidR="00717E16" w:rsidRDefault="00717E16" w:rsidP="00717E16">
      <w:pPr>
        <w:pStyle w:val="Default"/>
        <w:rPr>
          <w:b/>
          <w:bCs/>
          <w:sz w:val="23"/>
          <w:szCs w:val="23"/>
        </w:rPr>
      </w:pPr>
    </w:p>
    <w:p w14:paraId="1A8242E0" w14:textId="77777777" w:rsidR="00717E16" w:rsidRDefault="00717E16" w:rsidP="00717E16">
      <w:pPr>
        <w:pStyle w:val="Default"/>
        <w:rPr>
          <w:b/>
          <w:bCs/>
          <w:sz w:val="23"/>
          <w:szCs w:val="23"/>
        </w:rPr>
      </w:pPr>
    </w:p>
    <w:p w14:paraId="1A8242E1" w14:textId="77777777" w:rsidR="00717E16" w:rsidRDefault="00717E16" w:rsidP="00717E16">
      <w:pPr>
        <w:pStyle w:val="Default"/>
        <w:rPr>
          <w:b/>
          <w:bCs/>
          <w:sz w:val="23"/>
          <w:szCs w:val="23"/>
        </w:rPr>
      </w:pPr>
    </w:p>
    <w:p w14:paraId="1A8242E2" w14:textId="77777777" w:rsidR="00717E16" w:rsidRDefault="00717E16" w:rsidP="00717E16">
      <w:pPr>
        <w:pStyle w:val="Default"/>
        <w:rPr>
          <w:b/>
          <w:bCs/>
          <w:sz w:val="23"/>
          <w:szCs w:val="23"/>
        </w:rPr>
      </w:pPr>
    </w:p>
    <w:p w14:paraId="1A8242E3" w14:textId="77777777" w:rsidR="00717E16" w:rsidRDefault="00717E16" w:rsidP="00717E16">
      <w:pPr>
        <w:pStyle w:val="Default"/>
        <w:rPr>
          <w:b/>
          <w:bCs/>
          <w:sz w:val="23"/>
          <w:szCs w:val="23"/>
        </w:rPr>
      </w:pPr>
    </w:p>
    <w:p w14:paraId="1A8242E4" w14:textId="77777777" w:rsidR="00717E16" w:rsidRDefault="00717E16" w:rsidP="00717E16">
      <w:pPr>
        <w:pStyle w:val="Default"/>
        <w:rPr>
          <w:b/>
          <w:bCs/>
          <w:sz w:val="23"/>
          <w:szCs w:val="23"/>
        </w:rPr>
      </w:pPr>
    </w:p>
    <w:p w14:paraId="1A8242E5" w14:textId="77777777" w:rsidR="00717E16" w:rsidRDefault="00717E16" w:rsidP="00717E16">
      <w:pPr>
        <w:pStyle w:val="Default"/>
        <w:rPr>
          <w:b/>
          <w:bCs/>
          <w:sz w:val="23"/>
          <w:szCs w:val="23"/>
        </w:rPr>
      </w:pPr>
    </w:p>
    <w:p w14:paraId="1A8242E6" w14:textId="77777777" w:rsidR="00717E16" w:rsidRDefault="00717E16" w:rsidP="00717E16">
      <w:pPr>
        <w:pStyle w:val="Default"/>
        <w:rPr>
          <w:b/>
          <w:bCs/>
          <w:sz w:val="23"/>
          <w:szCs w:val="23"/>
        </w:rPr>
      </w:pPr>
    </w:p>
    <w:p w14:paraId="1A8242E7" w14:textId="77777777" w:rsidR="00717E16" w:rsidRDefault="00717E16" w:rsidP="00717E16">
      <w:pPr>
        <w:pStyle w:val="Default"/>
        <w:rPr>
          <w:b/>
          <w:bCs/>
          <w:sz w:val="23"/>
          <w:szCs w:val="23"/>
        </w:rPr>
      </w:pPr>
    </w:p>
    <w:p w14:paraId="1A8242E8" w14:textId="77777777" w:rsidR="00717E16" w:rsidRDefault="00717E16" w:rsidP="00717E16">
      <w:pPr>
        <w:pStyle w:val="Default"/>
        <w:rPr>
          <w:b/>
          <w:bCs/>
          <w:sz w:val="23"/>
          <w:szCs w:val="23"/>
        </w:rPr>
      </w:pPr>
    </w:p>
    <w:p w14:paraId="1A8242E9" w14:textId="77777777" w:rsidR="00717E16" w:rsidRDefault="00717E16" w:rsidP="00717E16">
      <w:pPr>
        <w:pStyle w:val="Default"/>
        <w:rPr>
          <w:b/>
          <w:bCs/>
          <w:sz w:val="23"/>
          <w:szCs w:val="23"/>
        </w:rPr>
      </w:pPr>
    </w:p>
    <w:p w14:paraId="1A8242EA" w14:textId="77777777" w:rsidR="00717E16" w:rsidRDefault="00717E16" w:rsidP="00717E16">
      <w:pPr>
        <w:pStyle w:val="Default"/>
        <w:rPr>
          <w:b/>
          <w:bCs/>
          <w:sz w:val="23"/>
          <w:szCs w:val="23"/>
        </w:rPr>
      </w:pPr>
    </w:p>
    <w:p w14:paraId="1A8242EB" w14:textId="77777777" w:rsidR="00717E16" w:rsidRDefault="00717E16" w:rsidP="00717E16">
      <w:pPr>
        <w:pStyle w:val="Default"/>
        <w:rPr>
          <w:b/>
          <w:bCs/>
          <w:sz w:val="23"/>
          <w:szCs w:val="23"/>
        </w:rPr>
      </w:pPr>
    </w:p>
    <w:p w14:paraId="1A8242EC" w14:textId="77777777" w:rsidR="00717E16" w:rsidRDefault="00717E16" w:rsidP="00717E16">
      <w:pPr>
        <w:pStyle w:val="Default"/>
        <w:rPr>
          <w:b/>
          <w:bCs/>
          <w:sz w:val="23"/>
          <w:szCs w:val="23"/>
        </w:rPr>
      </w:pPr>
    </w:p>
    <w:p w14:paraId="1A8242ED" w14:textId="77777777" w:rsidR="00717E16" w:rsidRPr="00A7549F" w:rsidRDefault="00717E16" w:rsidP="00717E16">
      <w:pPr>
        <w:pStyle w:val="Default"/>
        <w:jc w:val="center"/>
        <w:rPr>
          <w:b/>
          <w:bCs/>
          <w:sz w:val="22"/>
          <w:szCs w:val="22"/>
        </w:rPr>
      </w:pPr>
      <w:r w:rsidRPr="00656499">
        <w:rPr>
          <w:b/>
        </w:rPr>
        <w:t>Bank’s Policy</w:t>
      </w:r>
      <w:r>
        <w:rPr>
          <w:b/>
        </w:rPr>
        <w:t xml:space="preserve"> on </w:t>
      </w:r>
      <w:proofErr w:type="gramStart"/>
      <w:r>
        <w:rPr>
          <w:b/>
          <w:bCs/>
          <w:sz w:val="23"/>
          <w:szCs w:val="23"/>
        </w:rPr>
        <w:t xml:space="preserve">Eligibility </w:t>
      </w:r>
      <w:r>
        <w:rPr>
          <w:b/>
          <w:bCs/>
        </w:rPr>
        <w:t xml:space="preserve"> (</w:t>
      </w:r>
      <w:proofErr w:type="gramEnd"/>
      <w:r>
        <w:rPr>
          <w:b/>
          <w:bCs/>
        </w:rPr>
        <w:t>quote from the Procurement Guidelines)</w:t>
      </w:r>
    </w:p>
    <w:p w14:paraId="1A8242EE" w14:textId="77777777" w:rsidR="00717E16" w:rsidRDefault="00717E16" w:rsidP="00717E16">
      <w:pPr>
        <w:pStyle w:val="Default"/>
        <w:rPr>
          <w:sz w:val="23"/>
          <w:szCs w:val="23"/>
        </w:rPr>
      </w:pPr>
    </w:p>
    <w:p w14:paraId="1A8242EF" w14:textId="77777777" w:rsidR="00717E16" w:rsidRDefault="00717E16" w:rsidP="00717E16">
      <w:pPr>
        <w:pStyle w:val="Default"/>
        <w:rPr>
          <w:sz w:val="23"/>
          <w:szCs w:val="23"/>
        </w:rPr>
      </w:pPr>
    </w:p>
    <w:p w14:paraId="1A8242F0" w14:textId="77777777" w:rsidR="00717E16" w:rsidRDefault="00717E16" w:rsidP="00717E16">
      <w:pPr>
        <w:pStyle w:val="Default"/>
        <w:rPr>
          <w:color w:val="auto"/>
          <w:sz w:val="16"/>
          <w:szCs w:val="16"/>
        </w:rPr>
      </w:pPr>
      <w:r>
        <w:rPr>
          <w:sz w:val="23"/>
          <w:szCs w:val="23"/>
        </w:rPr>
        <w:t xml:space="preserve">1.8 To foster competition, the Bank permits firms and individuals from all countries to offer goods, works, and non-consulting services for Bank-financed projects. Any </w:t>
      </w:r>
      <w:r>
        <w:rPr>
          <w:color w:val="auto"/>
          <w:sz w:val="23"/>
          <w:szCs w:val="23"/>
        </w:rPr>
        <w:t>conditions for participation shall be limited to those that are essential to ensure the firm’s capability to fulfill the contract in question.</w:t>
      </w:r>
      <w:r>
        <w:rPr>
          <w:color w:val="auto"/>
          <w:sz w:val="16"/>
          <w:szCs w:val="16"/>
        </w:rPr>
        <w:t xml:space="preserve">12 </w:t>
      </w:r>
    </w:p>
    <w:p w14:paraId="1A8242F1" w14:textId="77777777" w:rsidR="00717E16" w:rsidRDefault="00717E16" w:rsidP="00717E16">
      <w:pPr>
        <w:pStyle w:val="Default"/>
        <w:rPr>
          <w:color w:val="auto"/>
          <w:sz w:val="23"/>
          <w:szCs w:val="23"/>
        </w:rPr>
      </w:pPr>
    </w:p>
    <w:p w14:paraId="1A8242F2" w14:textId="77777777" w:rsidR="00717E16" w:rsidRDefault="00717E16" w:rsidP="00717E16">
      <w:pPr>
        <w:pStyle w:val="Default"/>
        <w:rPr>
          <w:color w:val="auto"/>
          <w:sz w:val="23"/>
          <w:szCs w:val="23"/>
        </w:rPr>
      </w:pPr>
      <w:r>
        <w:rPr>
          <w:color w:val="auto"/>
          <w:sz w:val="23"/>
          <w:szCs w:val="23"/>
        </w:rPr>
        <w:t xml:space="preserve">1.9 In connection with any contract to be financed in whole or in part from a Bank loan, the Bank does not permit a Borrower to deny participation in a procurement process or award to a firm for reasons unrelated to: (i) its capability and resources to successfully perform the contract; or (ii) the conflict of interest situations covered under paragraphs 1.6 and 1.7 above. </w:t>
      </w:r>
    </w:p>
    <w:p w14:paraId="1A8242F3" w14:textId="77777777" w:rsidR="00717E16" w:rsidRDefault="00717E16" w:rsidP="00717E16">
      <w:pPr>
        <w:pStyle w:val="Default"/>
        <w:rPr>
          <w:color w:val="auto"/>
          <w:sz w:val="23"/>
          <w:szCs w:val="23"/>
        </w:rPr>
      </w:pPr>
    </w:p>
    <w:p w14:paraId="1A8242F4" w14:textId="77777777" w:rsidR="00717E16" w:rsidRDefault="00717E16" w:rsidP="00717E16">
      <w:pPr>
        <w:pStyle w:val="Default"/>
        <w:rPr>
          <w:color w:val="auto"/>
          <w:sz w:val="23"/>
          <w:szCs w:val="23"/>
        </w:rPr>
      </w:pPr>
      <w:r>
        <w:rPr>
          <w:color w:val="auto"/>
          <w:sz w:val="23"/>
          <w:szCs w:val="23"/>
        </w:rPr>
        <w:t xml:space="preserve">1.10 As exceptions to the foregoing paragraphs 1.8 and 1.9: </w:t>
      </w:r>
    </w:p>
    <w:p w14:paraId="1A8242F5" w14:textId="77777777" w:rsidR="00717E16" w:rsidRDefault="00717E16" w:rsidP="00717E16">
      <w:pPr>
        <w:pStyle w:val="Default"/>
        <w:rPr>
          <w:color w:val="auto"/>
          <w:sz w:val="23"/>
          <w:szCs w:val="23"/>
        </w:rPr>
      </w:pPr>
    </w:p>
    <w:p w14:paraId="1A8242F6" w14:textId="77777777" w:rsidR="00717E16" w:rsidRDefault="00717E16" w:rsidP="00717E16">
      <w:pPr>
        <w:pStyle w:val="Default"/>
        <w:rPr>
          <w:color w:val="auto"/>
          <w:sz w:val="23"/>
          <w:szCs w:val="23"/>
        </w:rPr>
      </w:pPr>
      <w:r>
        <w:rPr>
          <w:color w:val="auto"/>
          <w:sz w:val="23"/>
          <w:szCs w:val="23"/>
        </w:rPr>
        <w:t xml:space="preserve">(a) Firms of a country or goods manufactured in a country may be excluded if, (i) as a matter of law or official regulation, the Borrower’s country prohibits commercial relations with that country, provided that the Bank is satisfied that such exclusion does not preclude effective competition for the supply of goods, works, and non-consulting services required, or (ii) by an act of compliance with a decision of the United Nations Security Council taken under Chapter VII of the Charter of the United Nations, the Borrower’s country prohibits any import of goods from, or payments to, a particular country, person, or entity. Where the Borrower’s country prohibits payments to a particular firm or for particular goods by such an act of compliance, that firm may be excluded. </w:t>
      </w:r>
    </w:p>
    <w:p w14:paraId="1A8242F7" w14:textId="77777777" w:rsidR="00717E16" w:rsidRDefault="00717E16" w:rsidP="00717E16">
      <w:pPr>
        <w:pStyle w:val="Default"/>
        <w:rPr>
          <w:color w:val="auto"/>
          <w:sz w:val="23"/>
          <w:szCs w:val="23"/>
        </w:rPr>
      </w:pPr>
    </w:p>
    <w:p w14:paraId="1A8242F8" w14:textId="77777777" w:rsidR="00717E16" w:rsidRDefault="00717E16" w:rsidP="00717E16">
      <w:pPr>
        <w:pStyle w:val="Default"/>
        <w:rPr>
          <w:color w:val="auto"/>
          <w:sz w:val="16"/>
          <w:szCs w:val="16"/>
        </w:rPr>
      </w:pPr>
      <w:r>
        <w:rPr>
          <w:color w:val="auto"/>
          <w:sz w:val="23"/>
          <w:szCs w:val="23"/>
        </w:rPr>
        <w:t>(b) Government-owned enterprises or institutions of the Borrower’s country may participate in the Borrower’s country only if they can establish that they (i) are legally and financially autonomous, (ii) operate under commercial law, and (iii) are not dependent agencies of the Borrower or Sub-Borrower.</w:t>
      </w:r>
      <w:r>
        <w:rPr>
          <w:color w:val="auto"/>
          <w:sz w:val="16"/>
          <w:szCs w:val="16"/>
        </w:rPr>
        <w:t xml:space="preserve">13 </w:t>
      </w:r>
    </w:p>
    <w:p w14:paraId="1A8242F9" w14:textId="77777777" w:rsidR="00717E16" w:rsidRDefault="00717E16" w:rsidP="00717E16">
      <w:pPr>
        <w:pStyle w:val="Default"/>
        <w:rPr>
          <w:color w:val="auto"/>
          <w:sz w:val="23"/>
          <w:szCs w:val="23"/>
        </w:rPr>
      </w:pPr>
    </w:p>
    <w:p w14:paraId="1A8242FA" w14:textId="77777777" w:rsidR="00717E16" w:rsidRDefault="00717E16" w:rsidP="00717E16">
      <w:pPr>
        <w:pStyle w:val="Default"/>
        <w:rPr>
          <w:color w:val="auto"/>
          <w:sz w:val="23"/>
          <w:szCs w:val="23"/>
        </w:rPr>
      </w:pPr>
      <w:r>
        <w:rPr>
          <w:color w:val="auto"/>
          <w:sz w:val="23"/>
          <w:szCs w:val="23"/>
        </w:rPr>
        <w:t>(c) A firm sanctioned by the Bank in accordance with paragraph 1.16(d) of these Guidelines, or the World Bank Group Anti-Corruption policies and sanctions procedures,</w:t>
      </w:r>
      <w:r>
        <w:rPr>
          <w:color w:val="auto"/>
          <w:sz w:val="16"/>
          <w:szCs w:val="16"/>
        </w:rPr>
        <w:t xml:space="preserve">14 </w:t>
      </w:r>
      <w:r>
        <w:rPr>
          <w:color w:val="auto"/>
          <w:sz w:val="23"/>
          <w:szCs w:val="23"/>
        </w:rPr>
        <w:t>shall be ineligible to be awarded a Bank-financed contract or to benefit from a Bank-financed contract, financially or in any other manner, during the period of time determined by the Bank.</w:t>
      </w:r>
    </w:p>
    <w:p w14:paraId="1A8242FB" w14:textId="77777777" w:rsidR="00717E16" w:rsidRDefault="00717E16" w:rsidP="00717E16">
      <w:pPr>
        <w:pStyle w:val="Default"/>
        <w:rPr>
          <w:color w:val="auto"/>
          <w:sz w:val="23"/>
          <w:szCs w:val="23"/>
        </w:rPr>
      </w:pPr>
    </w:p>
    <w:p w14:paraId="1A8242FC" w14:textId="77777777" w:rsidR="00717E16" w:rsidRDefault="00717E16" w:rsidP="00717E16">
      <w:pPr>
        <w:pStyle w:val="Default"/>
        <w:rPr>
          <w:color w:val="auto"/>
          <w:sz w:val="23"/>
          <w:szCs w:val="23"/>
        </w:rPr>
      </w:pPr>
    </w:p>
    <w:p w14:paraId="1A8242FD" w14:textId="77777777" w:rsidR="00717E16" w:rsidRDefault="00717E16" w:rsidP="00717E16">
      <w:pPr>
        <w:pStyle w:val="Default"/>
        <w:rPr>
          <w:color w:val="auto"/>
          <w:sz w:val="23"/>
          <w:szCs w:val="23"/>
        </w:rPr>
      </w:pPr>
    </w:p>
    <w:p w14:paraId="1A8242FE" w14:textId="77777777" w:rsidR="00717E16" w:rsidRDefault="00717E16" w:rsidP="00717E16">
      <w:pPr>
        <w:pStyle w:val="Default"/>
        <w:pBdr>
          <w:bottom w:val="single" w:sz="12" w:space="1" w:color="auto"/>
        </w:pBdr>
        <w:rPr>
          <w:color w:val="auto"/>
          <w:sz w:val="23"/>
          <w:szCs w:val="23"/>
        </w:rPr>
      </w:pPr>
    </w:p>
    <w:p w14:paraId="1A8242FF" w14:textId="77777777" w:rsidR="00717E16" w:rsidRDefault="00717E16" w:rsidP="00717E16">
      <w:pPr>
        <w:pStyle w:val="Default"/>
        <w:rPr>
          <w:color w:val="auto"/>
          <w:sz w:val="23"/>
          <w:szCs w:val="23"/>
        </w:rPr>
      </w:pPr>
    </w:p>
    <w:p w14:paraId="1A824300" w14:textId="77777777" w:rsidR="00717E16" w:rsidRDefault="00717E16" w:rsidP="00717E16">
      <w:pPr>
        <w:pStyle w:val="Default"/>
        <w:rPr>
          <w:sz w:val="16"/>
          <w:szCs w:val="16"/>
        </w:rPr>
      </w:pPr>
      <w:r w:rsidRPr="00717E16">
        <w:rPr>
          <w:sz w:val="16"/>
          <w:szCs w:val="16"/>
        </w:rPr>
        <w:t xml:space="preserve">12 The Bank permits firms and individuals from Taiwan, China to offer goods, works, and non-consulting services for Bank-financed projects. </w:t>
      </w:r>
    </w:p>
    <w:p w14:paraId="1A824301" w14:textId="77777777" w:rsidR="00717E16" w:rsidRDefault="00717E16" w:rsidP="00717E16">
      <w:pPr>
        <w:pStyle w:val="Default"/>
        <w:rPr>
          <w:sz w:val="16"/>
          <w:szCs w:val="16"/>
        </w:rPr>
      </w:pPr>
    </w:p>
    <w:p w14:paraId="1A824302" w14:textId="77777777" w:rsidR="00717E16" w:rsidRDefault="00717E16" w:rsidP="00717E16">
      <w:pPr>
        <w:pStyle w:val="Default"/>
        <w:rPr>
          <w:sz w:val="16"/>
          <w:szCs w:val="16"/>
        </w:rPr>
      </w:pPr>
      <w:r w:rsidRPr="00717E16">
        <w:rPr>
          <w:sz w:val="16"/>
          <w:szCs w:val="16"/>
        </w:rPr>
        <w:t xml:space="preserve">13 Other than Force Account units, as permitted under paragraph 3.9.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contact to be awarded by the department or agency of the government which under their applicable laws or regulations is the reporting or supervisory authority of the enterprise or has the ability to exercise influence or control over the enterprise or institution. </w:t>
      </w:r>
    </w:p>
    <w:p w14:paraId="1A824303" w14:textId="77777777" w:rsidR="00717E16" w:rsidRPr="00717E16" w:rsidRDefault="00717E16" w:rsidP="00717E16">
      <w:pPr>
        <w:pStyle w:val="Default"/>
        <w:rPr>
          <w:sz w:val="16"/>
          <w:szCs w:val="16"/>
        </w:rPr>
      </w:pPr>
    </w:p>
    <w:p w14:paraId="1A824304" w14:textId="77777777" w:rsidR="00717E16" w:rsidRPr="00656499" w:rsidRDefault="00717E16" w:rsidP="00717E16">
      <w:pPr>
        <w:pStyle w:val="Default"/>
        <w:rPr>
          <w:color w:val="244061" w:themeColor="accent1" w:themeShade="80"/>
          <w:sz w:val="22"/>
          <w:szCs w:val="22"/>
        </w:rPr>
      </w:pPr>
      <w:r w:rsidRPr="00717E16">
        <w:rPr>
          <w:sz w:val="16"/>
          <w:szCs w:val="16"/>
        </w:rPr>
        <w:t xml:space="preserve">14 For the purpose of this sub-paragraph, the relevant World Bank Group Anti-Corruption policies are set forth in the </w:t>
      </w:r>
      <w:r w:rsidRPr="00717E16">
        <w:rPr>
          <w:i/>
          <w:iCs/>
          <w:sz w:val="16"/>
          <w:szCs w:val="16"/>
        </w:rPr>
        <w:t xml:space="preserve">Guidelines </w:t>
      </w:r>
      <w:proofErr w:type="gramStart"/>
      <w:r w:rsidRPr="00717E16">
        <w:rPr>
          <w:i/>
          <w:iCs/>
          <w:sz w:val="16"/>
          <w:szCs w:val="16"/>
        </w:rPr>
        <w:t>On</w:t>
      </w:r>
      <w:proofErr w:type="gramEnd"/>
      <w:r w:rsidRPr="00717E16">
        <w:rPr>
          <w:i/>
          <w:iCs/>
          <w:sz w:val="16"/>
          <w:szCs w:val="16"/>
        </w:rPr>
        <w:t xml:space="preserve"> Preventing and Combating Fraud and Corruption in Projects financed by IBRD Loans and IDA Credits and Grants</w:t>
      </w:r>
      <w:r w:rsidRPr="00717E16">
        <w:rPr>
          <w:sz w:val="16"/>
          <w:szCs w:val="16"/>
        </w:rPr>
        <w:t xml:space="preserve">, and in the </w:t>
      </w:r>
      <w:r w:rsidRPr="00717E16">
        <w:rPr>
          <w:i/>
          <w:iCs/>
          <w:sz w:val="16"/>
          <w:szCs w:val="16"/>
        </w:rPr>
        <w:t>Anti-Corruption Guidelines</w:t>
      </w:r>
      <w:r>
        <w:rPr>
          <w:i/>
          <w:iCs/>
          <w:sz w:val="16"/>
          <w:szCs w:val="16"/>
        </w:rPr>
        <w:t xml:space="preserve"> for IFC, MIGA, and World Bank Guarantee Transactions</w:t>
      </w:r>
      <w:r>
        <w:rPr>
          <w:sz w:val="16"/>
          <w:szCs w:val="16"/>
        </w:rPr>
        <w:t xml:space="preserve">. The Bank’s sanctions procedures are publicly disclosed on the Bank’s external website. </w:t>
      </w:r>
      <w:r>
        <w:t xml:space="preserve"> </w:t>
      </w:r>
    </w:p>
    <w:sectPr w:rsidR="00717E16" w:rsidRPr="00656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24307" w14:textId="77777777" w:rsidR="00936227" w:rsidRDefault="00936227" w:rsidP="00936227">
      <w:pPr>
        <w:spacing w:after="0" w:line="240" w:lineRule="auto"/>
      </w:pPr>
      <w:r>
        <w:separator/>
      </w:r>
    </w:p>
  </w:endnote>
  <w:endnote w:type="continuationSeparator" w:id="0">
    <w:p w14:paraId="1A824308" w14:textId="77777777" w:rsidR="00936227" w:rsidRDefault="00936227" w:rsidP="0093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24305" w14:textId="77777777" w:rsidR="00936227" w:rsidRDefault="00936227" w:rsidP="00936227">
      <w:pPr>
        <w:spacing w:after="0" w:line="240" w:lineRule="auto"/>
      </w:pPr>
      <w:r>
        <w:separator/>
      </w:r>
    </w:p>
  </w:footnote>
  <w:footnote w:type="continuationSeparator" w:id="0">
    <w:p w14:paraId="1A824306" w14:textId="77777777" w:rsidR="00936227" w:rsidRDefault="00936227" w:rsidP="00936227">
      <w:pPr>
        <w:spacing w:after="0" w:line="240" w:lineRule="auto"/>
      </w:pPr>
      <w:r>
        <w:continuationSeparator/>
      </w:r>
    </w:p>
  </w:footnote>
  <w:footnote w:id="1">
    <w:p w14:paraId="1A824309" w14:textId="77777777" w:rsidR="00656499" w:rsidRPr="00656499" w:rsidRDefault="00656499" w:rsidP="00656499">
      <w:pPr>
        <w:pStyle w:val="FootnoteText"/>
        <w:rPr>
          <w:sz w:val="16"/>
          <w:szCs w:val="16"/>
        </w:rPr>
      </w:pPr>
      <w:r>
        <w:rPr>
          <w:rStyle w:val="FootnoteReference"/>
        </w:rPr>
        <w:footnoteRef/>
      </w:r>
      <w:r>
        <w:t xml:space="preserve"> </w:t>
      </w:r>
      <w:r w:rsidRPr="00656499">
        <w:rPr>
          <w:sz w:val="16"/>
          <w:szCs w:val="16"/>
        </w:rPr>
        <w:tab/>
        <w:t xml:space="preserve">In this context, any action to influence the procurement process or contract execution for undue advantage is improper.  </w:t>
      </w:r>
    </w:p>
  </w:footnote>
  <w:footnote w:id="2">
    <w:p w14:paraId="1A82430A" w14:textId="77777777" w:rsidR="00656499" w:rsidRPr="00656499" w:rsidRDefault="00656499" w:rsidP="00656499">
      <w:pPr>
        <w:pStyle w:val="FootnoteText"/>
        <w:rPr>
          <w:sz w:val="16"/>
          <w:szCs w:val="16"/>
        </w:rPr>
      </w:pPr>
      <w:r w:rsidRPr="00656499">
        <w:rPr>
          <w:rStyle w:val="FootnoteReference"/>
          <w:sz w:val="16"/>
          <w:szCs w:val="16"/>
        </w:rPr>
        <w:footnoteRef/>
      </w:r>
      <w:r w:rsidRPr="00656499">
        <w:rPr>
          <w:sz w:val="16"/>
          <w:szCs w:val="16"/>
        </w:rPr>
        <w:t xml:space="preserve"> </w:t>
      </w:r>
      <w:r w:rsidRPr="00656499">
        <w:rPr>
          <w:sz w:val="16"/>
          <w:szCs w:val="16"/>
        </w:rPr>
        <w:tab/>
        <w:t>For the purpose of this sub-paragraph, “</w:t>
      </w:r>
      <w:r w:rsidRPr="00656499">
        <w:rPr>
          <w:i/>
          <w:iCs/>
          <w:sz w:val="16"/>
          <w:szCs w:val="16"/>
        </w:rPr>
        <w:t>another party</w:t>
      </w:r>
      <w:r w:rsidRPr="00656499">
        <w:rPr>
          <w:sz w:val="16"/>
          <w:szCs w:val="16"/>
        </w:rPr>
        <w:t>” refers to a public official acting in relation to the procurement process or contract execution. In this context, “</w:t>
      </w:r>
      <w:r w:rsidRPr="00656499">
        <w:rPr>
          <w:i/>
          <w:iCs/>
          <w:sz w:val="16"/>
          <w:szCs w:val="16"/>
        </w:rPr>
        <w:t>public official</w:t>
      </w:r>
      <w:r w:rsidRPr="00656499">
        <w:rPr>
          <w:sz w:val="16"/>
          <w:szCs w:val="16"/>
        </w:rPr>
        <w:t>” includes World Bank staff and employees of other organizations taking or reviewing procurement decisions.</w:t>
      </w:r>
    </w:p>
  </w:footnote>
  <w:footnote w:id="3">
    <w:p w14:paraId="1A82430B" w14:textId="77777777" w:rsidR="00656499" w:rsidRPr="00656499" w:rsidRDefault="00656499" w:rsidP="00656499">
      <w:pPr>
        <w:pStyle w:val="FootnoteText"/>
        <w:rPr>
          <w:sz w:val="16"/>
          <w:szCs w:val="16"/>
        </w:rPr>
      </w:pPr>
      <w:r w:rsidRPr="00656499">
        <w:rPr>
          <w:rStyle w:val="FootnoteReference"/>
          <w:sz w:val="16"/>
          <w:szCs w:val="16"/>
        </w:rPr>
        <w:footnoteRef/>
      </w:r>
      <w:r w:rsidRPr="00656499">
        <w:rPr>
          <w:sz w:val="16"/>
          <w:szCs w:val="16"/>
        </w:rPr>
        <w:t xml:space="preserve"> </w:t>
      </w:r>
      <w:r w:rsidRPr="00656499">
        <w:rPr>
          <w:sz w:val="16"/>
          <w:szCs w:val="16"/>
        </w:rPr>
        <w:tab/>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
    <w:p w14:paraId="1A82430C" w14:textId="77777777" w:rsidR="00656499" w:rsidRDefault="00656499" w:rsidP="00656499">
      <w:pPr>
        <w:pStyle w:val="FootnoteText"/>
      </w:pPr>
      <w:r w:rsidRPr="00656499">
        <w:rPr>
          <w:rStyle w:val="FootnoteReference"/>
          <w:sz w:val="16"/>
          <w:szCs w:val="16"/>
        </w:rPr>
        <w:footnoteRef/>
      </w:r>
      <w:r w:rsidRPr="00656499">
        <w:rPr>
          <w:sz w:val="16"/>
          <w:szCs w:val="16"/>
        </w:rPr>
        <w:t xml:space="preserve"> </w:t>
      </w:r>
      <w:r w:rsidRPr="00656499">
        <w:rPr>
          <w:sz w:val="16"/>
          <w:szCs w:val="16"/>
        </w:rPr>
        <w:tab/>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5">
    <w:p w14:paraId="1A82430D" w14:textId="77777777" w:rsidR="00656499" w:rsidRPr="00656499" w:rsidRDefault="00656499" w:rsidP="00656499">
      <w:pPr>
        <w:pStyle w:val="FootnoteText"/>
        <w:rPr>
          <w:sz w:val="16"/>
          <w:szCs w:val="16"/>
        </w:rPr>
      </w:pPr>
      <w:r>
        <w:rPr>
          <w:rStyle w:val="FootnoteReference"/>
        </w:rPr>
        <w:footnoteRef/>
      </w:r>
      <w:r>
        <w:t xml:space="preserve"> </w:t>
      </w:r>
      <w:r>
        <w:tab/>
      </w:r>
      <w:r w:rsidRPr="00656499">
        <w:rPr>
          <w:sz w:val="16"/>
          <w:szCs w:val="16"/>
        </w:rPr>
        <w:t>For the purpose of this sub-paragraph, “party” refers to a participant in the procurement process or contract execution.</w:t>
      </w:r>
    </w:p>
  </w:footnote>
  <w:footnote w:id="6">
    <w:p w14:paraId="1A82430E" w14:textId="77777777" w:rsidR="00656499" w:rsidRPr="00656499" w:rsidRDefault="00656499" w:rsidP="00656499">
      <w:pPr>
        <w:pStyle w:val="FootnoteText"/>
        <w:rPr>
          <w:sz w:val="16"/>
          <w:szCs w:val="16"/>
        </w:rPr>
      </w:pPr>
      <w:r>
        <w:rPr>
          <w:rStyle w:val="FootnoteReference"/>
        </w:rPr>
        <w:footnoteRef/>
      </w:r>
      <w:r>
        <w:t xml:space="preserve"> </w:t>
      </w:r>
      <w:r>
        <w:tab/>
      </w:r>
      <w:r w:rsidRPr="00656499">
        <w:rPr>
          <w:sz w:val="16"/>
          <w:szCs w:val="16"/>
        </w:rPr>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7">
    <w:p w14:paraId="1A82430F" w14:textId="77777777" w:rsidR="00656499" w:rsidRPr="00656499" w:rsidRDefault="00656499" w:rsidP="00656499">
      <w:pPr>
        <w:pStyle w:val="FootnoteText"/>
        <w:rPr>
          <w:sz w:val="16"/>
          <w:szCs w:val="16"/>
        </w:rPr>
      </w:pPr>
      <w:r w:rsidRPr="00656499">
        <w:rPr>
          <w:rStyle w:val="FootnoteReference"/>
          <w:sz w:val="16"/>
          <w:szCs w:val="16"/>
        </w:rPr>
        <w:footnoteRef/>
      </w:r>
      <w:r w:rsidRPr="00656499">
        <w:rPr>
          <w:sz w:val="16"/>
          <w:szCs w:val="16"/>
        </w:rPr>
        <w:t xml:space="preserve"> </w:t>
      </w:r>
      <w:r w:rsidRPr="00656499">
        <w:rPr>
          <w:sz w:val="16"/>
          <w:szCs w:val="16"/>
        </w:rPr>
        <w:tab/>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76D96"/>
    <w:multiLevelType w:val="hybridMultilevel"/>
    <w:tmpl w:val="2888571A"/>
    <w:lvl w:ilvl="0" w:tplc="E93C4570">
      <w:start w:val="1"/>
      <w:numFmt w:val="decimal"/>
      <w:lvlText w:val="%1."/>
      <w:lvlJc w:val="left"/>
      <w:pPr>
        <w:ind w:left="360" w:hanging="360"/>
      </w:pPr>
      <w:rPr>
        <w:b w:val="0"/>
        <w:i w:val="0"/>
        <w:sz w:val="22"/>
        <w:szCs w:val="22"/>
      </w:rPr>
    </w:lvl>
    <w:lvl w:ilvl="1" w:tplc="AC829EDC">
      <w:start w:val="1"/>
      <w:numFmt w:val="lowerRoman"/>
      <w:lvlText w:val="(%2)"/>
      <w:lvlJc w:val="center"/>
      <w:pPr>
        <w:ind w:left="1440" w:hanging="360"/>
      </w:pPr>
      <w:rPr>
        <w:rFonts w:ascii="Times New Roman" w:eastAsia="Times New Roman" w:hAnsi="Times New Roman" w:cs="Times New Roman" w:hint="default"/>
        <w:b w:val="0"/>
        <w:i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62E0C"/>
    <w:multiLevelType w:val="hybridMultilevel"/>
    <w:tmpl w:val="06149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27"/>
    <w:rsid w:val="0020339F"/>
    <w:rsid w:val="002F34AE"/>
    <w:rsid w:val="00516C49"/>
    <w:rsid w:val="00656499"/>
    <w:rsid w:val="00660790"/>
    <w:rsid w:val="00717E16"/>
    <w:rsid w:val="00785CE0"/>
    <w:rsid w:val="00936227"/>
    <w:rsid w:val="00A6588D"/>
    <w:rsid w:val="00A7549F"/>
    <w:rsid w:val="00B27695"/>
    <w:rsid w:val="00C1587D"/>
    <w:rsid w:val="00D222C3"/>
    <w:rsid w:val="00D60CFC"/>
    <w:rsid w:val="00DE7698"/>
    <w:rsid w:val="00E2389F"/>
    <w:rsid w:val="00EE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42B0"/>
  <w15:docId w15:val="{E6296E80-039A-4830-8F10-28C94E88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227"/>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aliases w:val="ftref"/>
    <w:basedOn w:val="DefaultParagraphFont"/>
    <w:semiHidden/>
    <w:rsid w:val="00936227"/>
    <w:rPr>
      <w:vertAlign w:val="superscript"/>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
    <w:basedOn w:val="Normal"/>
    <w:link w:val="FootnoteTextChar"/>
    <w:semiHidden/>
    <w:unhideWhenUsed/>
    <w:rsid w:val="0093622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semiHidden/>
    <w:rsid w:val="00936227"/>
    <w:rPr>
      <w:rFonts w:ascii="Times New Roman" w:eastAsia="Times New Roman" w:hAnsi="Times New Roman" w:cs="Times New Roman"/>
      <w:sz w:val="20"/>
      <w:szCs w:val="20"/>
    </w:rPr>
  </w:style>
  <w:style w:type="paragraph" w:customStyle="1" w:styleId="MainParanoChapter">
    <w:name w:val="Main Para no Chapter #"/>
    <w:basedOn w:val="Normal"/>
    <w:link w:val="MainParanoChapterChar"/>
    <w:rsid w:val="00B27695"/>
    <w:pPr>
      <w:tabs>
        <w:tab w:val="left" w:pos="720"/>
      </w:tabs>
      <w:spacing w:after="240" w:line="240" w:lineRule="auto"/>
      <w:outlineLvl w:val="1"/>
    </w:pPr>
    <w:rPr>
      <w:rFonts w:ascii="Times New Roman" w:eastAsia="Times New Roman" w:hAnsi="Times New Roman" w:cs="Times New Roman"/>
      <w:sz w:val="24"/>
      <w:szCs w:val="20"/>
    </w:rPr>
  </w:style>
  <w:style w:type="character" w:customStyle="1" w:styleId="MainParanoChapterChar">
    <w:name w:val="Main Para no Chapter # Char"/>
    <w:basedOn w:val="DefaultParagraphFont"/>
    <w:link w:val="MainParanoChapter"/>
    <w:rsid w:val="00B27695"/>
    <w:rPr>
      <w:rFonts w:ascii="Times New Roman" w:eastAsia="Times New Roman" w:hAnsi="Times New Roman" w:cs="Times New Roman"/>
      <w:sz w:val="24"/>
      <w:szCs w:val="20"/>
    </w:rPr>
  </w:style>
  <w:style w:type="paragraph" w:styleId="ListParagraph">
    <w:name w:val="List Paragraph"/>
    <w:basedOn w:val="Normal"/>
    <w:uiPriority w:val="34"/>
    <w:qFormat/>
    <w:rsid w:val="002F34AE"/>
    <w:pPr>
      <w:ind w:left="720"/>
      <w:contextualSpacing/>
    </w:pPr>
  </w:style>
  <w:style w:type="paragraph" w:styleId="BalloonText">
    <w:name w:val="Balloon Text"/>
    <w:basedOn w:val="Normal"/>
    <w:link w:val="BalloonTextChar"/>
    <w:uiPriority w:val="99"/>
    <w:semiHidden/>
    <w:unhideWhenUsed/>
    <w:rsid w:val="00EE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1BD"/>
    <w:rPr>
      <w:rFonts w:ascii="Tahoma" w:hAnsi="Tahoma" w:cs="Tahoma"/>
      <w:sz w:val="16"/>
      <w:szCs w:val="16"/>
    </w:rPr>
  </w:style>
  <w:style w:type="paragraph" w:styleId="EndnoteText">
    <w:name w:val="endnote text"/>
    <w:basedOn w:val="Normal"/>
    <w:link w:val="EndnoteTextChar"/>
    <w:uiPriority w:val="99"/>
    <w:semiHidden/>
    <w:unhideWhenUsed/>
    <w:rsid w:val="00A754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549F"/>
    <w:rPr>
      <w:sz w:val="20"/>
      <w:szCs w:val="20"/>
    </w:rPr>
  </w:style>
  <w:style w:type="character" w:styleId="EndnoteReference">
    <w:name w:val="endnote reference"/>
    <w:basedOn w:val="DefaultParagraphFont"/>
    <w:uiPriority w:val="99"/>
    <w:semiHidden/>
    <w:unhideWhenUsed/>
    <w:rsid w:val="00A75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6701-CD33-483F-AC5A-4000E244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G. Viyachka</dc:creator>
  <cp:lastModifiedBy>Antonia G. Viyachka</cp:lastModifiedBy>
  <cp:revision>2</cp:revision>
  <cp:lastPrinted>2015-02-04T10:54:00Z</cp:lastPrinted>
  <dcterms:created xsi:type="dcterms:W3CDTF">2018-02-22T16:12:00Z</dcterms:created>
  <dcterms:modified xsi:type="dcterms:W3CDTF">2018-02-22T16:12:00Z</dcterms:modified>
</cp:coreProperties>
</file>