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F9317B" w14:paraId="20DCD8C7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7C641F1E" w14:textId="77777777" w:rsidR="00DF6F8D" w:rsidRPr="00F9317B" w:rsidRDefault="00957A44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bookmarkStart w:id="0" w:name="_GoBack"/>
            <w:bookmarkEnd w:id="0"/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Formular per 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paraqitje/dorëzim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t</w:t>
            </w:r>
            <w:r w:rsidR="00A32086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komenteve dhe sugjerimeve p</w:t>
            </w:r>
            <w:r w:rsidR="00A32086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r projektin  </w:t>
            </w:r>
          </w:p>
          <w:p w14:paraId="4623F548" w14:textId="6C859BDA" w:rsidR="00C6678E" w:rsidRPr="00F9317B" w:rsidRDefault="00C6678E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9317B">
              <w:rPr>
                <w:rFonts w:asciiTheme="minorHAnsi" w:hAnsiTheme="minorHAnsi" w:cstheme="minorHAnsi"/>
                <w:b/>
                <w:szCs w:val="24"/>
              </w:rPr>
              <w:t xml:space="preserve">“Përmirësimi i qasjes dhe 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sq-AL"/>
              </w:rPr>
              <w:t xml:space="preserve">atraktivitetit </w:t>
            </w:r>
            <w:r w:rsidRPr="00F9317B">
              <w:rPr>
                <w:rFonts w:asciiTheme="minorHAnsi" w:hAnsiTheme="minorHAnsi" w:cstheme="minorHAnsi"/>
                <w:b/>
                <w:szCs w:val="24"/>
              </w:rPr>
              <w:t>në “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sq-AL"/>
              </w:rPr>
              <w:t>Vendbanimin liqenor dhe me diell të Mantovës dhe rethinës”</w:t>
            </w:r>
          </w:p>
          <w:p w14:paraId="67A3BDB9" w14:textId="3E46D59A" w:rsidR="007C2FCF" w:rsidRPr="00F9317B" w:rsidRDefault="007C2FCF" w:rsidP="007C2FCF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 xml:space="preserve">     Komuna Konçe në kuadër të "Projektit për konkurrencën lokale dhe rajonale", të mbështetur nga BE, menaxhuar nga Banka Botërore dhe i zbatuar nga Zyra e Zëvendës Kryeministrit për Çështje Ekonomike - KZPVEP, projekt komponent "Investimet në infrastrukturë turistike dhe lidhjet me destinacione "draft" Përmirësimi i aksesit dhe atraktivitetin e "lagjes Sun liqenit Mantova" dhe mjedisit "është potencialin e turizmit të Komunës Dragonfly duke hapur një qendër moderne turistike në një Shpesh zadovoluanje do të mundësojë një gamë të gjerë të nevojave të turistëve destinacionit.</w:t>
            </w:r>
          </w:p>
          <w:p w14:paraId="2D656E20" w14:textId="6E0C5E35" w:rsidR="007C2FCF" w:rsidRPr="00F9317B" w:rsidRDefault="007C2FCF" w:rsidP="007C2FCF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 xml:space="preserve">      Konçe komunës në kuadër të aplikimit, të përgatitur Projektin Plan Lista kontrolluese Menaxhimit Mjedisor "Përmirësimi i aksesit dhe atraktivitetin e" lagjes Sun Liqeni Mantova "dhe mjedisin", në mënyrë që të identifikohen menjëherë dhe vlerësuar ndikimet e mundshme mjedisore të aktivitetet e projektit: rehabilitimi i rrugës lokale Dam Mantova - Village Gabrevci, rregullim urban i zonës piknik në liqen Mantova - ndriçimit (faza instalimet elektrike), hartë dhe shënimi i këmbësorëve Mo. 'Cottages vllahe - Manastiri i Shën Gjergjit' Teki 'dhe' 'trokas' dhe vendosjen e pajisjeve urbane. Plani përfshin masa për të parandaluar, minimizuar dhe zbutur ndikimet e mundshme negative të zbatimit të aktiviteteve të planifikuara të projektit.</w:t>
            </w:r>
          </w:p>
          <w:p w14:paraId="263868EA" w14:textId="77777777" w:rsidR="007C2FCF" w:rsidRPr="00F9317B" w:rsidRDefault="007C2FCF" w:rsidP="00A33809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347E5162" w14:textId="77777777" w:rsidR="00A33809" w:rsidRPr="00F9317B" w:rsidRDefault="00E71133" w:rsidP="00A33809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Verzioni elektronik i Planit p</w:t>
            </w:r>
            <w:r w:rsidR="00A32086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r menaxhim me ambientin jet</w:t>
            </w:r>
            <w:r w:rsidR="00A32086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sor p</w:t>
            </w:r>
            <w:r w:rsidR="00A32086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r projektin </w:t>
            </w:r>
            <w:r w:rsidR="00A32086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sht</w:t>
            </w:r>
            <w:r w:rsidR="00A32086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n</w:t>
            </w:r>
            <w:r w:rsidR="00A32086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dispozicion n</w:t>
            </w:r>
            <w:r w:rsidR="00A32086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: </w:t>
            </w:r>
            <w:r w:rsidR="00A33809" w:rsidRPr="00F9317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6D04DE89" w14:textId="77777777" w:rsidR="00A33809" w:rsidRPr="00F9317B" w:rsidRDefault="00E71133" w:rsidP="00A33809">
            <w:pPr>
              <w:spacing w:line="240" w:lineRule="auto"/>
              <w:ind w:firstLine="306"/>
              <w:rPr>
                <w:rStyle w:val="Hyperlink"/>
                <w:rFonts w:asciiTheme="minorHAnsi" w:hAnsiTheme="minorHAnsi" w:cstheme="minorHAnsi"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Zyr</w:t>
            </w:r>
            <w:r w:rsidR="00A32086" w:rsidRPr="00F9317B">
              <w:rPr>
                <w:rFonts w:asciiTheme="minorHAnsi" w:hAnsiTheme="minorHAnsi" w:cstheme="minorHAnsi"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n e projekteve</w:t>
            </w:r>
            <w:r w:rsidR="00A33809" w:rsidRPr="00F9317B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7" w:history="1">
              <w:r w:rsidR="00A33809" w:rsidRPr="00F9317B">
                <w:rPr>
                  <w:rStyle w:val="Hyperlink"/>
                  <w:rFonts w:asciiTheme="minorHAnsi" w:hAnsiTheme="minorHAnsi" w:cstheme="minorHAnsi"/>
                  <w:color w:val="0070C0"/>
                  <w:szCs w:val="24"/>
                  <w:lang w:val="en-US"/>
                </w:rPr>
                <w:t>www.lrcp.mk</w:t>
              </w:r>
            </w:hyperlink>
          </w:p>
          <w:p w14:paraId="78A01E18" w14:textId="64B2BBFE" w:rsidR="007C2FCF" w:rsidRPr="00F9317B" w:rsidRDefault="007C2FCF" w:rsidP="00A33809">
            <w:pPr>
              <w:spacing w:line="240" w:lineRule="auto"/>
              <w:ind w:firstLine="306"/>
              <w:rPr>
                <w:rFonts w:asciiTheme="minorHAnsi" w:hAnsiTheme="minorHAnsi" w:cstheme="minorHAnsi"/>
                <w:color w:val="0070C0"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Faqja e internetit e Bashkisë së Konçes:</w:t>
            </w:r>
            <w:r w:rsidRPr="00F9317B">
              <w:rPr>
                <w:rFonts w:asciiTheme="minorHAnsi" w:hAnsiTheme="minorHAnsi" w:cstheme="minorHAnsi"/>
                <w:color w:val="0070C0"/>
                <w:szCs w:val="24"/>
                <w:lang w:val="en-US"/>
              </w:rPr>
              <w:t xml:space="preserve"> </w:t>
            </w:r>
            <w:hyperlink r:id="rId8" w:history="1">
              <w:r w:rsidRPr="00F9317B">
                <w:rPr>
                  <w:rStyle w:val="Hyperlink"/>
                  <w:rFonts w:asciiTheme="minorHAnsi" w:hAnsiTheme="minorHAnsi" w:cstheme="minorHAnsi"/>
                  <w:color w:val="0070C0"/>
                  <w:szCs w:val="24"/>
                </w:rPr>
                <w:t>http://konce.gov.mk/</w:t>
              </w:r>
            </w:hyperlink>
          </w:p>
          <w:p w14:paraId="6EDA27FA" w14:textId="77777777" w:rsidR="00A33809" w:rsidRPr="00F9317B" w:rsidRDefault="00E71133" w:rsidP="00A33809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Agjencioni</w:t>
            </w:r>
            <w:r w:rsidR="0003443C" w:rsidRPr="00F9317B">
              <w:rPr>
                <w:rFonts w:asciiTheme="minorHAnsi" w:hAnsiTheme="minorHAnsi" w:cstheme="minorHAnsi"/>
                <w:szCs w:val="24"/>
                <w:lang w:val="en-US"/>
              </w:rPr>
              <w:t>n</w:t>
            </w: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 xml:space="preserve"> p</w:t>
            </w:r>
            <w:r w:rsidR="00A32086" w:rsidRPr="00F9317B">
              <w:rPr>
                <w:rFonts w:asciiTheme="minorHAnsi" w:hAnsiTheme="minorHAnsi" w:cstheme="minorHAnsi"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r promovim dhe p</w:t>
            </w:r>
            <w:r w:rsidR="00A32086" w:rsidRPr="00F9317B">
              <w:rPr>
                <w:rFonts w:asciiTheme="minorHAnsi" w:hAnsiTheme="minorHAnsi" w:cstheme="minorHAnsi"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rkrahje t</w:t>
            </w:r>
            <w:r w:rsidR="00A32086" w:rsidRPr="00F9317B">
              <w:rPr>
                <w:rFonts w:asciiTheme="minorHAnsi" w:hAnsiTheme="minorHAnsi" w:cstheme="minorHAnsi"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 xml:space="preserve"> turizmit</w:t>
            </w:r>
            <w:r w:rsidR="00A33809" w:rsidRPr="00F9317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32086" w:rsidRPr="00F9317B">
              <w:rPr>
                <w:rFonts w:asciiTheme="minorHAnsi" w:hAnsiTheme="minorHAnsi" w:cstheme="minorHAnsi"/>
                <w:szCs w:val="24"/>
                <w:lang w:val="en-US"/>
              </w:rPr>
              <w:t>të RM-së</w:t>
            </w:r>
            <w:r w:rsidR="00A33809" w:rsidRPr="00F9317B"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9" w:history="1">
              <w:r w:rsidR="00A33809" w:rsidRPr="00F9317B">
                <w:rPr>
                  <w:rStyle w:val="Hyperlink"/>
                  <w:rFonts w:asciiTheme="minorHAnsi" w:hAnsiTheme="minorHAnsi" w:cstheme="minorHAnsi"/>
                  <w:color w:val="0070C0"/>
                  <w:szCs w:val="24"/>
                  <w:lang w:val="en-US"/>
                </w:rPr>
                <w:t>www.tourismmacedonia.gov.mk</w:t>
              </w:r>
            </w:hyperlink>
            <w:r w:rsidR="00A33809" w:rsidRPr="00F9317B">
              <w:rPr>
                <w:rFonts w:asciiTheme="minorHAnsi" w:hAnsiTheme="minorHAnsi" w:cstheme="minorHAnsi"/>
                <w:color w:val="0070C0"/>
                <w:szCs w:val="24"/>
                <w:lang w:val="en-US"/>
              </w:rPr>
              <w:t xml:space="preserve"> </w:t>
            </w:r>
          </w:p>
          <w:p w14:paraId="7205F919" w14:textId="77777777" w:rsidR="007C2FCF" w:rsidRPr="00F9317B" w:rsidRDefault="007C2FCF" w:rsidP="00A33809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423C858D" w14:textId="77777777" w:rsidR="00A32086" w:rsidRPr="00F9317B" w:rsidRDefault="00A32086" w:rsidP="00A32086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Verzioni i shtypur i </w:t>
            </w:r>
            <w:r w:rsidR="00A33809" w:rsidRPr="00F9317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Planit për menaxhim me ambientin jetësor për projektin është në dispozicion në lokacionet e mëposhtme: </w:t>
            </w:r>
            <w:r w:rsidRPr="00F9317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26DC4312" w14:textId="77777777" w:rsidR="00A33809" w:rsidRPr="00F9317B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Njësia për zbatim të projektit</w:t>
            </w:r>
            <w:r w:rsidR="00A33809" w:rsidRPr="00F9317B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NJZP</w:t>
            </w:r>
            <w:r w:rsidR="00A33809" w:rsidRPr="00F9317B">
              <w:rPr>
                <w:rFonts w:asciiTheme="minorHAnsi" w:hAnsiTheme="minorHAnsi" w:cstheme="minorHAnsi"/>
                <w:szCs w:val="24"/>
              </w:rPr>
              <w:t>)</w:t>
            </w:r>
          </w:p>
          <w:p w14:paraId="6B05E300" w14:textId="77777777" w:rsidR="00A33809" w:rsidRPr="00F9317B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 xml:space="preserve">Projekt për konkurim </w:t>
            </w:r>
            <w:r w:rsidR="0003443C" w:rsidRPr="00F9317B">
              <w:rPr>
                <w:rFonts w:asciiTheme="minorHAnsi" w:hAnsiTheme="minorHAnsi" w:cstheme="minorHAnsi"/>
                <w:szCs w:val="24"/>
                <w:lang w:val="en-US"/>
              </w:rPr>
              <w:t>lok</w:t>
            </w: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 xml:space="preserve">al dhe rajonal </w:t>
            </w:r>
            <w:r w:rsidR="00A33809" w:rsidRPr="00F9317B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PKLR</w:t>
            </w:r>
            <w:r w:rsidR="00A33809" w:rsidRPr="00F9317B">
              <w:rPr>
                <w:rFonts w:asciiTheme="minorHAnsi" w:hAnsiTheme="minorHAnsi" w:cstheme="minorHAnsi"/>
                <w:szCs w:val="24"/>
              </w:rPr>
              <w:t>)</w:t>
            </w:r>
          </w:p>
          <w:p w14:paraId="5BE2728E" w14:textId="77777777" w:rsidR="00A33809" w:rsidRPr="00F9317B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Adresa</w:t>
            </w:r>
            <w:r w:rsidRPr="00F9317B">
              <w:rPr>
                <w:rFonts w:asciiTheme="minorHAnsi" w:hAnsiTheme="minorHAnsi" w:cstheme="minorHAnsi"/>
                <w:szCs w:val="24"/>
              </w:rPr>
              <w:t xml:space="preserve">:  </w:t>
            </w: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rr</w:t>
            </w:r>
            <w:r w:rsidR="00A33809" w:rsidRPr="00F9317B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Gjuro</w:t>
            </w:r>
            <w:r w:rsidR="00A33809" w:rsidRPr="00F9317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Gjakoviq</w:t>
            </w:r>
            <w:r w:rsidR="00A33809" w:rsidRPr="00F9317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nr</w:t>
            </w:r>
            <w:r w:rsidR="00A33809" w:rsidRPr="00F9317B">
              <w:rPr>
                <w:rFonts w:asciiTheme="minorHAnsi" w:hAnsiTheme="minorHAnsi" w:cstheme="minorHAnsi"/>
                <w:szCs w:val="24"/>
              </w:rPr>
              <w:t xml:space="preserve">. 60/1, </w:t>
            </w: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Shkup</w:t>
            </w:r>
          </w:p>
          <w:p w14:paraId="19519FA9" w14:textId="77777777" w:rsidR="00A33809" w:rsidRPr="00F9317B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Telefon</w:t>
            </w:r>
            <w:r w:rsidR="00A33809" w:rsidRPr="00F9317B">
              <w:rPr>
                <w:rFonts w:asciiTheme="minorHAnsi" w:hAnsiTheme="minorHAnsi" w:cstheme="minorHAnsi"/>
                <w:szCs w:val="24"/>
              </w:rPr>
              <w:t xml:space="preserve">: 02 32 53 818 </w:t>
            </w:r>
          </w:p>
          <w:p w14:paraId="6B66C359" w14:textId="77777777" w:rsidR="00A33809" w:rsidRPr="00F9317B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Ekspert për ambientin jetësor</w:t>
            </w:r>
            <w:r w:rsidR="00A33809" w:rsidRPr="00F9317B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Ljubomir</w:t>
            </w:r>
            <w:r w:rsidR="00A33809" w:rsidRPr="00F9317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Petkovski</w:t>
            </w:r>
            <w:r w:rsidR="00A33809" w:rsidRPr="00F9317B">
              <w:rPr>
                <w:rFonts w:asciiTheme="minorHAnsi" w:hAnsiTheme="minorHAnsi" w:cstheme="minorHAnsi"/>
                <w:szCs w:val="24"/>
                <w:lang w:val="en-US"/>
              </w:rPr>
              <w:t xml:space="preserve">   </w:t>
            </w:r>
            <w:r w:rsidR="00A33809" w:rsidRPr="00F9317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0612CEF" w14:textId="77777777" w:rsidR="00A33809" w:rsidRPr="00F9317B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="00A33809" w:rsidRPr="00F9317B">
              <w:rPr>
                <w:rFonts w:asciiTheme="minorHAnsi" w:hAnsiTheme="minorHAnsi" w:cstheme="minorHAnsi"/>
                <w:szCs w:val="24"/>
              </w:rPr>
              <w:t>-</w:t>
            </w: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mail</w:t>
            </w:r>
            <w:r w:rsidR="00A33809" w:rsidRPr="00F9317B"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10" w:history="1">
              <w:r w:rsidR="00A33809" w:rsidRPr="00F9317B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ljubomir.petkovski@lrcp.org.mk</w:t>
              </w:r>
            </w:hyperlink>
            <w:r w:rsidR="00A33809" w:rsidRPr="00F9317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7D473F34" w14:textId="77777777" w:rsidR="007C2FCF" w:rsidRPr="00F9317B" w:rsidRDefault="007C2FCF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58A88569" w14:textId="77777777" w:rsidR="007C2FCF" w:rsidRPr="00F9317B" w:rsidRDefault="007C2FCF" w:rsidP="007C2F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 xml:space="preserve">Konçe komunës </w:t>
            </w:r>
          </w:p>
          <w:p w14:paraId="74C6032F" w14:textId="56879CD1" w:rsidR="00A33809" w:rsidRPr="00F9317B" w:rsidRDefault="00A32086" w:rsidP="00F9317B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>Adresa</w:t>
            </w:r>
            <w:r w:rsidRPr="00F9317B">
              <w:rPr>
                <w:rFonts w:asciiTheme="minorHAnsi" w:hAnsiTheme="minorHAnsi" w:cstheme="minorHAnsi"/>
                <w:szCs w:val="24"/>
              </w:rPr>
              <w:t>:</w:t>
            </w:r>
            <w:r w:rsidR="007C2FCF" w:rsidRPr="00F9317B">
              <w:rPr>
                <w:rFonts w:asciiTheme="minorHAnsi" w:hAnsiTheme="minorHAnsi" w:cstheme="minorHAnsi"/>
                <w:szCs w:val="24"/>
                <w:lang w:val="en-US"/>
              </w:rPr>
              <w:t xml:space="preserve"> 2424 Konce</w:t>
            </w:r>
          </w:p>
          <w:p w14:paraId="6B750F8B" w14:textId="65130B25" w:rsidR="00A33809" w:rsidRPr="00F9317B" w:rsidRDefault="00A33809" w:rsidP="00A33809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color w:val="FF0000"/>
                <w:szCs w:val="24"/>
              </w:rPr>
              <w:t xml:space="preserve">      </w:t>
            </w:r>
            <w:r w:rsidR="00A32086" w:rsidRPr="00F9317B">
              <w:rPr>
                <w:rFonts w:asciiTheme="minorHAnsi" w:hAnsiTheme="minorHAnsi" w:cstheme="minorHAnsi"/>
                <w:szCs w:val="24"/>
                <w:lang w:val="en-US"/>
              </w:rPr>
              <w:t>Telefon</w:t>
            </w:r>
            <w:r w:rsidRPr="00F9317B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7C2FCF" w:rsidRPr="00F9317B">
              <w:rPr>
                <w:rFonts w:asciiTheme="minorHAnsi" w:hAnsiTheme="minorHAnsi" w:cstheme="minorHAnsi"/>
                <w:szCs w:val="24"/>
              </w:rPr>
              <w:t>032 630 325</w:t>
            </w:r>
          </w:p>
          <w:p w14:paraId="04E22FE0" w14:textId="6238BECE" w:rsidR="00A33809" w:rsidRPr="00F9317B" w:rsidRDefault="00A33809" w:rsidP="00A33809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A32086" w:rsidRPr="00F9317B">
              <w:rPr>
                <w:rFonts w:asciiTheme="minorHAnsi" w:hAnsiTheme="minorHAnsi" w:cstheme="minorHAnsi"/>
                <w:szCs w:val="24"/>
                <w:lang w:val="en-US"/>
              </w:rPr>
              <w:t>Personi përgjegjës</w:t>
            </w:r>
            <w:r w:rsidRPr="00F9317B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7C2FCF" w:rsidRPr="00F9317B">
              <w:rPr>
                <w:rFonts w:asciiTheme="minorHAnsi" w:hAnsiTheme="minorHAnsi" w:cstheme="minorHAnsi"/>
                <w:szCs w:val="24"/>
                <w:lang w:val="en-US"/>
              </w:rPr>
              <w:t>Blagoj Iliev, kryetar bashkie</w:t>
            </w:r>
          </w:p>
          <w:p w14:paraId="745358E6" w14:textId="47948661" w:rsidR="00DF6F8D" w:rsidRPr="00F9317B" w:rsidRDefault="00A33809" w:rsidP="00A33809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="00A32086" w:rsidRPr="00F9317B">
              <w:rPr>
                <w:rFonts w:asciiTheme="minorHAnsi" w:hAnsiTheme="minorHAnsi" w:cstheme="minorHAnsi"/>
                <w:szCs w:val="24"/>
                <w:lang w:val="en-US"/>
              </w:rPr>
              <w:t>e-mail</w:t>
            </w:r>
            <w:r w:rsidRPr="00F9317B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7C2FCF" w:rsidRPr="00F9317B">
              <w:rPr>
                <w:rFonts w:asciiTheme="minorHAnsi" w:hAnsiTheme="minorHAnsi" w:cstheme="minorHAnsi"/>
                <w:szCs w:val="24"/>
                <w:lang w:val="en-US"/>
              </w:rPr>
              <w:t xml:space="preserve">gradonacalnik.konce@gmail.com </w:t>
            </w:r>
            <w:r w:rsidR="007C2FCF" w:rsidRPr="00F9317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C86560F" w14:textId="77777777" w:rsidR="00A33809" w:rsidRPr="00F9317B" w:rsidRDefault="00A33809" w:rsidP="00A33809">
            <w:pPr>
              <w:spacing w:line="240" w:lineRule="auto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  <w:r w:rsidRPr="00F9317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Pr="00F9317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8A04383" w14:textId="77777777" w:rsidR="00A33809" w:rsidRPr="00F9317B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Ju lutemi n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rast se keni ndonj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="00063B6E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koment/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sugjerim ose plot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sim p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r masat e 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lastRenderedPageBreak/>
              <w:t>propozuara nga Lista p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r verifikim t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Planit p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r menaxhim me ambientin jet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sor, t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nj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jtat paraqitni te</w:t>
            </w:r>
            <w:r w:rsidR="00063B6E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k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personat p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rgjegj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s t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k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="00063B6E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saj liste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="00063B6E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n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nj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="00063B6E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peri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udh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kohore prej </w:t>
            </w:r>
            <w:r w:rsidR="00A33809" w:rsidRPr="00F9317B">
              <w:rPr>
                <w:rFonts w:asciiTheme="minorHAnsi" w:hAnsiTheme="minorHAnsi" w:cstheme="minorHAnsi"/>
                <w:b/>
                <w:szCs w:val="24"/>
              </w:rPr>
              <w:t xml:space="preserve"> 14 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dit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sh pas dit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s s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publikimit t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List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s p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r verfikim t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Planit p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r menaxhim me ambientin jet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sor </w:t>
            </w:r>
            <w:r w:rsidR="00A33809" w:rsidRPr="00F9317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074AA5B3" w14:textId="7CFED8FE" w:rsidR="00A33809" w:rsidRPr="00F9317B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9317B"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="00A32086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Data e publikimit</w:t>
            </w:r>
            <w:r w:rsidRPr="00F9317B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F9317B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15.03.2019</w:t>
            </w:r>
            <w:r w:rsidRPr="00F9317B">
              <w:rPr>
                <w:rFonts w:asciiTheme="minorHAnsi" w:hAnsiTheme="minorHAnsi" w:cstheme="minorHAnsi"/>
                <w:b/>
                <w:szCs w:val="24"/>
              </w:rPr>
              <w:t>).</w:t>
            </w:r>
          </w:p>
          <w:p w14:paraId="48CC0A84" w14:textId="08C1907C" w:rsidR="00A32086" w:rsidRPr="00047E6C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Ju lutemi q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komentet Tuaja p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r p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rmir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sim t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List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s p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r verifikim t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Planit p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r menaxhim me ambientin jet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sor</w:t>
            </w:r>
            <w:r w:rsidR="00A33809" w:rsidRPr="00F9317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p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r projektin</w:t>
            </w:r>
            <w:r w:rsidR="00A33809" w:rsidRPr="00F9317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F9317B" w:rsidRPr="00F9317B">
              <w:rPr>
                <w:rFonts w:asciiTheme="minorHAnsi" w:hAnsiTheme="minorHAnsi" w:cstheme="minorHAnsi"/>
                <w:b/>
                <w:szCs w:val="24"/>
              </w:rPr>
              <w:t xml:space="preserve">“Përmirësimi i qasjes dhe </w:t>
            </w:r>
            <w:r w:rsidR="00F9317B" w:rsidRPr="00F9317B">
              <w:rPr>
                <w:rFonts w:asciiTheme="minorHAnsi" w:hAnsiTheme="minorHAnsi" w:cstheme="minorHAnsi"/>
                <w:b/>
                <w:szCs w:val="24"/>
                <w:lang w:val="sq-AL"/>
              </w:rPr>
              <w:t xml:space="preserve">atraktivitetit </w:t>
            </w:r>
            <w:r w:rsidR="00F9317B" w:rsidRPr="00F9317B">
              <w:rPr>
                <w:rFonts w:asciiTheme="minorHAnsi" w:hAnsiTheme="minorHAnsi" w:cstheme="minorHAnsi"/>
                <w:b/>
                <w:szCs w:val="24"/>
              </w:rPr>
              <w:t>në “</w:t>
            </w:r>
            <w:r w:rsidR="00F9317B" w:rsidRPr="00F9317B">
              <w:rPr>
                <w:rFonts w:asciiTheme="minorHAnsi" w:hAnsiTheme="minorHAnsi" w:cstheme="minorHAnsi"/>
                <w:b/>
                <w:szCs w:val="24"/>
                <w:lang w:val="sq-AL"/>
              </w:rPr>
              <w:t>Vendbanimin liqenor dhe me diell të Mantovës dhe rethinës”</w:t>
            </w:r>
            <w:r w:rsidR="00F9317B" w:rsidRPr="00F9317B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”</w:t>
            </w:r>
            <w:r w:rsidR="00A33809" w:rsidRPr="00F9317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ti paraqisni apo dor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zoni n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adresat e dh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na elektronike ose n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zyrat </w:t>
            </w:r>
            <w:r w:rsidRPr="00047E6C">
              <w:rPr>
                <w:rFonts w:asciiTheme="minorHAnsi" w:hAnsiTheme="minorHAnsi" w:cstheme="minorHAnsi"/>
                <w:b/>
                <w:szCs w:val="24"/>
                <w:lang w:val="en-US"/>
              </w:rPr>
              <w:t>e</w:t>
            </w:r>
            <w:r w:rsidR="00F9317B" w:rsidRPr="00047E6C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Komuna Konçe</w:t>
            </w:r>
            <w:r w:rsidR="00063B6E" w:rsidRPr="00047E6C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Pr="00047E6C">
              <w:rPr>
                <w:rFonts w:asciiTheme="minorHAnsi" w:hAnsiTheme="minorHAnsi" w:cstheme="minorHAnsi"/>
                <w:b/>
                <w:szCs w:val="24"/>
                <w:lang w:val="en-US"/>
              </w:rPr>
              <w:t>dhe/ose Projektit p</w:t>
            </w:r>
            <w:r w:rsidR="0003443C" w:rsidRPr="00047E6C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="00063B6E" w:rsidRPr="00047E6C">
              <w:rPr>
                <w:rFonts w:asciiTheme="minorHAnsi" w:hAnsiTheme="minorHAnsi" w:cstheme="minorHAnsi"/>
                <w:b/>
                <w:szCs w:val="24"/>
                <w:lang w:val="en-US"/>
              </w:rPr>
              <w:t>r konkurim lok</w:t>
            </w:r>
            <w:r w:rsidRPr="00047E6C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al dhe rajonal. </w:t>
            </w:r>
          </w:p>
          <w:p w14:paraId="56BC3EB2" w14:textId="77777777" w:rsidR="00A33809" w:rsidRPr="00F9317B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Paraprakisht ju falenderojm</w:t>
            </w:r>
            <w:r w:rsidR="0003443C"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.</w:t>
            </w:r>
          </w:p>
          <w:p w14:paraId="0EBE1D37" w14:textId="77777777" w:rsidR="00A32086" w:rsidRPr="00F9317B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2E7385B2" w14:textId="77777777" w:rsidR="00A32086" w:rsidRPr="00F9317B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</w:tr>
      <w:tr w:rsidR="00A33809" w:rsidRPr="00F9317B" w14:paraId="663E8C91" w14:textId="77777777" w:rsidTr="00A33809">
        <w:tc>
          <w:tcPr>
            <w:tcW w:w="9350" w:type="dxa"/>
            <w:gridSpan w:val="3"/>
          </w:tcPr>
          <w:p w14:paraId="53751F56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9317B">
              <w:rPr>
                <w:rFonts w:asciiTheme="minorHAnsi" w:hAnsiTheme="minorHAnsi" w:cstheme="minorHAnsi"/>
                <w:b/>
                <w:szCs w:val="24"/>
              </w:rPr>
              <w:lastRenderedPageBreak/>
              <w:t>Референтен број: ______________________________</w:t>
            </w:r>
          </w:p>
          <w:p w14:paraId="4F40064D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9317B">
              <w:rPr>
                <w:rFonts w:asciiTheme="minorHAnsi" w:hAnsiTheme="minorHAnsi" w:cstheme="minorHAnsi"/>
                <w:szCs w:val="24"/>
              </w:rPr>
              <w:t>(се потполнува од страна на проектот)</w:t>
            </w:r>
          </w:p>
        </w:tc>
      </w:tr>
      <w:tr w:rsidR="00A33809" w:rsidRPr="00F9317B" w14:paraId="181925A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08A3734A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b/>
                <w:szCs w:val="24"/>
              </w:rPr>
              <w:t>Име и презиме*</w:t>
            </w:r>
          </w:p>
          <w:p w14:paraId="018AA4D8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EE2A678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A33809" w:rsidRPr="00F9317B" w14:paraId="39831A21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17C77295" w14:textId="77777777" w:rsidR="00A33809" w:rsidRPr="00F9317B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b/>
                <w:szCs w:val="24"/>
              </w:rPr>
              <w:t>Контакт информации</w:t>
            </w:r>
            <w:r w:rsidRPr="00F9317B">
              <w:rPr>
                <w:rFonts w:asciiTheme="minorHAnsi" w:hAnsiTheme="minorHAnsi" w:cstheme="minorHAnsi"/>
                <w:b/>
                <w:szCs w:val="24"/>
                <w:lang w:val="en-US"/>
              </w:rPr>
              <w:t>*</w:t>
            </w:r>
          </w:p>
          <w:p w14:paraId="598386F5" w14:textId="77777777" w:rsidR="00A33809" w:rsidRPr="00F9317B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5DD5420" w14:textId="77777777" w:rsidR="00A33809" w:rsidRPr="00F9317B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6F1116A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9317B">
              <w:rPr>
                <w:rFonts w:asciiTheme="minorHAnsi" w:hAnsiTheme="minorHAnsi" w:cstheme="minorHAnsi"/>
                <w:b/>
                <w:szCs w:val="24"/>
              </w:rPr>
              <w:t>Е-пошта:</w:t>
            </w:r>
          </w:p>
          <w:p w14:paraId="5935D56A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01492F69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9317B">
              <w:rPr>
                <w:rFonts w:asciiTheme="minorHAnsi" w:hAnsiTheme="minorHAnsi" w:cstheme="minorHAnsi"/>
                <w:szCs w:val="24"/>
              </w:rPr>
              <w:t>______________________________</w:t>
            </w:r>
          </w:p>
          <w:p w14:paraId="6FAC71D5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4597FC67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9317B">
              <w:rPr>
                <w:rFonts w:asciiTheme="minorHAnsi" w:hAnsiTheme="minorHAnsi" w:cstheme="minorHAnsi"/>
                <w:b/>
                <w:szCs w:val="24"/>
              </w:rPr>
              <w:t>Телефон:</w:t>
            </w:r>
          </w:p>
          <w:p w14:paraId="72BAE2BE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06997F60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9317B">
              <w:rPr>
                <w:rFonts w:asciiTheme="minorHAnsi" w:hAnsiTheme="minorHAnsi" w:cstheme="minorHAnsi"/>
                <w:szCs w:val="24"/>
              </w:rPr>
              <w:t>______________________________</w:t>
            </w:r>
          </w:p>
          <w:p w14:paraId="49B82C2A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3809" w:rsidRPr="00F9317B" w14:paraId="45526159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58E39C7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F9317B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Коментар:</w:t>
            </w:r>
          </w:p>
          <w:p w14:paraId="6C4B86AB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87A463C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75E525DD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72EA86B8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A3F2F5D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5508D9A0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4F91BCF8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50B5AE0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3FAA029D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7833268F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5D5B40DF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  <w:p w14:paraId="10D48DD8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33809" w:rsidRPr="00F9317B" w14:paraId="40FE5D0B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046D70EC" w14:textId="77777777" w:rsidR="00A33809" w:rsidRPr="00F9317B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b/>
                <w:szCs w:val="24"/>
              </w:rPr>
              <w:t>Потпис</w:t>
            </w:r>
          </w:p>
          <w:p w14:paraId="7591BC30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72ED6EF3" w14:textId="77777777" w:rsidR="00A33809" w:rsidRPr="00F9317B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9C667AD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9317B">
              <w:rPr>
                <w:rFonts w:asciiTheme="minorHAnsi" w:hAnsiTheme="minorHAnsi" w:cstheme="minorHAnsi"/>
                <w:szCs w:val="24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B841403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9317B">
              <w:rPr>
                <w:rFonts w:asciiTheme="minorHAnsi" w:hAnsiTheme="minorHAnsi" w:cstheme="minorHAnsi"/>
                <w:b/>
                <w:szCs w:val="24"/>
              </w:rPr>
              <w:t>Дата</w:t>
            </w:r>
          </w:p>
          <w:p w14:paraId="4500B1D3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46B2B382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509D637C" w14:textId="77777777" w:rsidR="00A33809" w:rsidRPr="00F9317B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9317B">
              <w:rPr>
                <w:rFonts w:asciiTheme="minorHAnsi" w:hAnsiTheme="minorHAnsi" w:cstheme="minorHAnsi"/>
                <w:szCs w:val="24"/>
              </w:rPr>
              <w:t>____________________</w:t>
            </w:r>
          </w:p>
        </w:tc>
      </w:tr>
    </w:tbl>
    <w:p w14:paraId="79445665" w14:textId="77777777" w:rsidR="001073F1" w:rsidRPr="00F9317B" w:rsidRDefault="001073F1">
      <w:pPr>
        <w:ind w:firstLine="0"/>
        <w:rPr>
          <w:rFonts w:asciiTheme="minorHAnsi" w:hAnsiTheme="minorHAnsi" w:cstheme="minorHAnsi"/>
          <w:szCs w:val="24"/>
        </w:rPr>
      </w:pPr>
      <w:r w:rsidRPr="00F9317B">
        <w:rPr>
          <w:rFonts w:asciiTheme="minorHAnsi" w:hAnsiTheme="minorHAnsi" w:cstheme="minorHAnsi"/>
          <w:szCs w:val="24"/>
          <w:lang w:val="en-US"/>
        </w:rPr>
        <w:t xml:space="preserve">* </w:t>
      </w:r>
      <w:r w:rsidRPr="00F9317B">
        <w:rPr>
          <w:rFonts w:asciiTheme="minorHAnsi" w:hAnsiTheme="minorHAnsi" w:cstheme="minorHAnsi"/>
          <w:szCs w:val="24"/>
        </w:rPr>
        <w:t>Пополнување на полињата со лични податоци не е задолжително</w:t>
      </w:r>
    </w:p>
    <w:sectPr w:rsidR="001073F1" w:rsidRPr="00F9317B" w:rsidSect="00A87E34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70F50" w14:textId="77777777" w:rsidR="0013205C" w:rsidRDefault="0013205C" w:rsidP="00BD61EC">
      <w:pPr>
        <w:spacing w:line="240" w:lineRule="auto"/>
      </w:pPr>
      <w:r>
        <w:separator/>
      </w:r>
    </w:p>
  </w:endnote>
  <w:endnote w:type="continuationSeparator" w:id="0">
    <w:p w14:paraId="7C0B5412" w14:textId="77777777" w:rsidR="0013205C" w:rsidRDefault="0013205C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4B9153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047E6C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3E745" w14:textId="77777777" w:rsidR="0013205C" w:rsidRDefault="0013205C" w:rsidP="00BD61EC">
      <w:pPr>
        <w:spacing w:line="240" w:lineRule="auto"/>
      </w:pPr>
      <w:r>
        <w:separator/>
      </w:r>
    </w:p>
  </w:footnote>
  <w:footnote w:type="continuationSeparator" w:id="0">
    <w:p w14:paraId="0D8D0FE5" w14:textId="77777777" w:rsidR="0013205C" w:rsidRDefault="0013205C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3443C"/>
    <w:rsid w:val="00047E6C"/>
    <w:rsid w:val="00063B6E"/>
    <w:rsid w:val="00075278"/>
    <w:rsid w:val="000B2292"/>
    <w:rsid w:val="001073F1"/>
    <w:rsid w:val="0013205C"/>
    <w:rsid w:val="0014727D"/>
    <w:rsid w:val="001639A6"/>
    <w:rsid w:val="00190EF6"/>
    <w:rsid w:val="001A48C2"/>
    <w:rsid w:val="00237832"/>
    <w:rsid w:val="00243719"/>
    <w:rsid w:val="002D61C6"/>
    <w:rsid w:val="00302222"/>
    <w:rsid w:val="003279F2"/>
    <w:rsid w:val="00342215"/>
    <w:rsid w:val="00354823"/>
    <w:rsid w:val="00364002"/>
    <w:rsid w:val="00370644"/>
    <w:rsid w:val="003A0B2E"/>
    <w:rsid w:val="004122CC"/>
    <w:rsid w:val="00425AB0"/>
    <w:rsid w:val="004470C0"/>
    <w:rsid w:val="004531BD"/>
    <w:rsid w:val="004E471E"/>
    <w:rsid w:val="004E4F2C"/>
    <w:rsid w:val="005A27EC"/>
    <w:rsid w:val="005C3097"/>
    <w:rsid w:val="005C6516"/>
    <w:rsid w:val="00625958"/>
    <w:rsid w:val="00664AAC"/>
    <w:rsid w:val="00670179"/>
    <w:rsid w:val="0069441B"/>
    <w:rsid w:val="006B71B2"/>
    <w:rsid w:val="006C1528"/>
    <w:rsid w:val="006C44EB"/>
    <w:rsid w:val="006C476A"/>
    <w:rsid w:val="006D2989"/>
    <w:rsid w:val="00712185"/>
    <w:rsid w:val="007B5907"/>
    <w:rsid w:val="007C2FCF"/>
    <w:rsid w:val="007E4A18"/>
    <w:rsid w:val="0082114A"/>
    <w:rsid w:val="0082431D"/>
    <w:rsid w:val="008532C0"/>
    <w:rsid w:val="008B2391"/>
    <w:rsid w:val="008B5411"/>
    <w:rsid w:val="008D1ABF"/>
    <w:rsid w:val="00951F1C"/>
    <w:rsid w:val="00957A44"/>
    <w:rsid w:val="00A32086"/>
    <w:rsid w:val="00A33809"/>
    <w:rsid w:val="00A746DC"/>
    <w:rsid w:val="00A87E34"/>
    <w:rsid w:val="00AB0B49"/>
    <w:rsid w:val="00AB2141"/>
    <w:rsid w:val="00BC2688"/>
    <w:rsid w:val="00BD61EC"/>
    <w:rsid w:val="00C10894"/>
    <w:rsid w:val="00C3760D"/>
    <w:rsid w:val="00C6678E"/>
    <w:rsid w:val="00C70EE7"/>
    <w:rsid w:val="00CA0065"/>
    <w:rsid w:val="00CB5B4C"/>
    <w:rsid w:val="00CC2828"/>
    <w:rsid w:val="00D61665"/>
    <w:rsid w:val="00DC02F4"/>
    <w:rsid w:val="00DF3EED"/>
    <w:rsid w:val="00DF6F8D"/>
    <w:rsid w:val="00E10DB6"/>
    <w:rsid w:val="00E21537"/>
    <w:rsid w:val="00E71133"/>
    <w:rsid w:val="00ED2773"/>
    <w:rsid w:val="00EE3C7E"/>
    <w:rsid w:val="00F65BB2"/>
    <w:rsid w:val="00F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FA73"/>
  <w15:docId w15:val="{D0A55E13-8BAD-400E-859C-35987CD7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ce.gov.m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jubomir.petkovski@lrcp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macedoni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2019-03-15T13:12:00Z</dcterms:created>
  <dcterms:modified xsi:type="dcterms:W3CDTF">2019-03-15T13:12:00Z</dcterms:modified>
</cp:coreProperties>
</file>