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6.360001pt;margin-top:98.040001pt;width:467.9pt;height:615.25pt;mso-position-horizontal-relative:page;mso-position-vertical-relative:page;z-index:-251778048" coordorigin="1327,1961" coordsize="9358,12305">
            <v:rect style="position:absolute;left:1327;top:1960;width:8;height:8" filled="true" fillcolor="#000000" stroked="false">
              <v:fill type="solid"/>
            </v:rect>
            <v:line style="position:absolute" from="1337,1964" to="10675,1964" stroked="true" strokeweight=".36pt" strokecolor="#000000">
              <v:stroke dashstyle="solid"/>
            </v:line>
            <v:rect style="position:absolute;left:10677;top:1960;width:8;height:8" filled="true" fillcolor="#000000" stroked="false">
              <v:fill type="solid"/>
            </v:rect>
            <v:line style="position:absolute" from="1331,1970" to="1331,14256" stroked="true" strokeweight=".36pt" strokecolor="#000000">
              <v:stroke dashstyle="solid"/>
            </v:line>
            <v:rect style="position:absolute;left:1327;top:14258;width:8;height:8" filled="true" fillcolor="#000000" stroked="false">
              <v:fill type="solid"/>
            </v:rect>
            <v:line style="position:absolute" from="1337,14262" to="10675,14262" stroked="true" strokeweight=".36pt" strokecolor="#000000">
              <v:stroke dashstyle="solid"/>
            </v:line>
            <v:line style="position:absolute" from="10681,1970" to="10681,14256" stroked="true" strokeweight=".36pt" strokecolor="#000000">
              <v:stroke dashstyle="solid"/>
            </v:line>
            <v:rect style="position:absolute;left:10677;top:14258;width:8;height:8" filled="true" fillcolor="#000000" stroked="false">
              <v:fill type="solid"/>
            </v:rect>
            <w10:wrap type="none"/>
          </v:group>
        </w:pict>
      </w:r>
    </w:p>
    <w:p>
      <w:pPr>
        <w:pStyle w:val="BodyText"/>
        <w:spacing w:before="1"/>
        <w:rPr>
          <w:rFonts w:ascii="Times New Roman"/>
          <w:sz w:val="21"/>
        </w:rPr>
      </w:pPr>
    </w:p>
    <w:p>
      <w:pPr>
        <w:pStyle w:val="BodyText"/>
        <w:ind w:left="191"/>
        <w:rPr>
          <w:rFonts w:ascii="Times New Roman"/>
          <w:sz w:val="20"/>
        </w:rPr>
      </w:pPr>
      <w:r>
        <w:rPr>
          <w:rFonts w:ascii="Times New Roman"/>
          <w:sz w:val="20"/>
        </w:rPr>
        <w:pict>
          <v:shape style="width:459.5pt;height:67pt;mso-position-horizontal-relative:char;mso-position-vertical-relative:line" type="#_x0000_t202" filled="true" fillcolor="#fde8d8" stroked="false">
            <w10:anchorlock/>
            <v:textbox inset="0,0,0,0">
              <w:txbxContent>
                <w:p>
                  <w:pPr>
                    <w:spacing w:line="536" w:lineRule="exact" w:before="46"/>
                    <w:ind w:left="278" w:right="0" w:firstLine="799"/>
                    <w:jc w:val="left"/>
                    <w:rPr>
                      <w:b/>
                      <w:sz w:val="22"/>
                    </w:rPr>
                  </w:pPr>
                  <w:r>
                    <w:rPr>
                      <w:b/>
                      <w:sz w:val="22"/>
                    </w:rPr>
                    <w:t>Formular per paraqitje/dorëzim të komenteve dhe sugjerimeve për projektin “RIIKONSTRUIM DHE MBINDËRTIM I SHTEGUT PËR KËMBËSORË - ÇIKLIZËM DHE VENDPUSHIM</w:t>
                  </w:r>
                </w:p>
                <w:p>
                  <w:pPr>
                    <w:spacing w:line="221" w:lineRule="exact" w:before="0"/>
                    <w:ind w:left="2570" w:right="2570" w:firstLine="0"/>
                    <w:jc w:val="center"/>
                    <w:rPr>
                      <w:b/>
                      <w:sz w:val="22"/>
                    </w:rPr>
                  </w:pPr>
                  <w:r>
                    <w:rPr>
                      <w:b/>
                      <w:sz w:val="22"/>
                    </w:rPr>
                    <w:t>SEKTORI QENDËR ZHUPË - ISHUJT E DIBRËS”</w:t>
                  </w:r>
                </w:p>
              </w:txbxContent>
            </v:textbox>
            <v:fill type="solid"/>
          </v:shape>
        </w:pict>
      </w:r>
      <w:r>
        <w:rPr>
          <w:rFonts w:ascii="Times New Roman"/>
          <w:sz w:val="20"/>
        </w:rPr>
      </w:r>
    </w:p>
    <w:p>
      <w:pPr>
        <w:pStyle w:val="BodyText"/>
        <w:spacing w:before="1"/>
        <w:rPr>
          <w:rFonts w:ascii="Times New Roman"/>
          <w:sz w:val="10"/>
        </w:rPr>
      </w:pPr>
    </w:p>
    <w:p>
      <w:pPr>
        <w:pStyle w:val="BodyText"/>
        <w:spacing w:before="56"/>
        <w:ind w:left="220" w:right="221" w:firstLine="588"/>
        <w:jc w:val="both"/>
      </w:pPr>
      <w:r>
        <w:rPr/>
        <w:pict>
          <v:shape style="position:absolute;margin-left:70.559998pt;margin-top:86.593628pt;width:459.5pt;height:93.85pt;mso-position-horizontal-relative:page;mso-position-vertical-relative:paragraph;z-index:-251657216;mso-wrap-distance-left:0;mso-wrap-distance-right:0" type="#_x0000_t202" filled="true" fillcolor="#e9f0dd" stroked="false">
            <v:textbox inset="0,0,0,0">
              <w:txbxContent>
                <w:p>
                  <w:pPr>
                    <w:spacing w:line="240" w:lineRule="auto" w:before="0"/>
                    <w:ind w:left="28" w:right="21" w:firstLine="588"/>
                    <w:jc w:val="both"/>
                    <w:rPr>
                      <w:sz w:val="22"/>
                    </w:rPr>
                  </w:pPr>
                  <w:r>
                    <w:rPr>
                      <w:sz w:val="22"/>
                    </w:rPr>
                    <w:t>Komuna Qendër Zhupë në kuadër të aplikacionit, përgaditi </w:t>
                  </w:r>
                  <w:r>
                    <w:rPr>
                      <w:b/>
                      <w:sz w:val="22"/>
                    </w:rPr>
                    <w:t>Listë për verifikim të planit për menaxhim me mjedisin jetësor </w:t>
                  </w:r>
                  <w:r>
                    <w:rPr>
                      <w:sz w:val="22"/>
                    </w:rPr>
                    <w:t>për projektin “Rikonstruim dhe mbindërtim i shtegut për këmbësorë - çiklizëm dhe vendpushim” me qëllim që me kohë të identifikohen dhe vlerësohen ndikimet potencijale ndaj mjedisit jetësor nga aktivitetet e projektit “</w:t>
                  </w:r>
                  <w:r>
                    <w:rPr>
                      <w:b/>
                      <w:sz w:val="22"/>
                    </w:rPr>
                    <w:t>Rikonstruim dhe mbindërtim i shtegut për këmbësorë - çiklizëm dhe vendosja e vendpushimit”</w:t>
                  </w:r>
                  <w:r>
                    <w:rPr>
                      <w:sz w:val="22"/>
                    </w:rPr>
                    <w:t>. Plani përmban edhe masa për pengimin, minimalizimin dhe zbutjen e ndikimeve të mundshme negative prej realizimit të aktiviteteve të parapara të projektit.</w:t>
                  </w:r>
                </w:p>
              </w:txbxContent>
            </v:textbox>
            <v:fill type="solid"/>
            <w10:wrap type="topAndBottom"/>
          </v:shape>
        </w:pict>
      </w:r>
      <w:r>
        <w:rPr/>
        <w:t>Komuna Qendër Zhupë në kuadër të projektit “Projekti për konkurencë lokale dhe rajonale“ i përkrahur nga BE, administruar nga Banka Botërore dhe zbatuar nga Kabineti për Zëvendës Kryeministrin përgjegjës për Çështjet Ekonomike - CPZVEP, komponenti projektues „Investime në infrastrukturën turistike dhe ndërlidhje në destinacione“ përgaditi projektin “</w:t>
      </w:r>
      <w:r>
        <w:rPr>
          <w:b/>
        </w:rPr>
        <w:t>Rikonstruim dhe mbindërtim i shtegut për këmbësorë - çiklizëm dhe vendpushim “</w:t>
      </w:r>
      <w:r>
        <w:rPr/>
        <w:t>me qëllim zhvillimin e turizmit në nivel lokal si dhe zhvillimin në nivel qëndror .</w:t>
      </w:r>
    </w:p>
    <w:p>
      <w:pPr>
        <w:pStyle w:val="Heading1"/>
        <w:spacing w:before="44"/>
        <w:ind w:right="204"/>
        <w:rPr>
          <w:b w:val="0"/>
        </w:rPr>
      </w:pPr>
      <w:r>
        <w:rPr/>
        <w:t>Versioni elektronik i Planit për menaxhim me ambientin jetësor për projektin është në dispozicion në </w:t>
      </w:r>
      <w:r>
        <w:rPr>
          <w:b w:val="0"/>
        </w:rPr>
        <w:t>:</w:t>
      </w:r>
    </w:p>
    <w:p>
      <w:pPr>
        <w:pStyle w:val="BodyText"/>
        <w:spacing w:before="61"/>
        <w:ind w:left="527"/>
      </w:pPr>
      <w:r>
        <w:rPr/>
        <w:t>Zyrën e projektit: </w:t>
      </w:r>
      <w:hyperlink r:id="rId6">
        <w:r>
          <w:rPr>
            <w:color w:val="0000FF"/>
            <w:u w:val="single" w:color="0000FF"/>
          </w:rPr>
          <w:t>www.lrcp.mk</w:t>
        </w:r>
      </w:hyperlink>
    </w:p>
    <w:p>
      <w:pPr>
        <w:pStyle w:val="BodyText"/>
        <w:ind w:left="527" w:right="582"/>
      </w:pPr>
      <w:r>
        <w:rPr/>
        <w:t>Agjencionin për promovimin dhe përkrahjen e tuizmit në RM: </w:t>
      </w:r>
      <w:hyperlink r:id="rId7">
        <w:r>
          <w:rPr>
            <w:color w:val="0000FF"/>
            <w:u w:val="single" w:color="0000FF"/>
          </w:rPr>
          <w:t>www.tourismmacedonia.gov.mk</w:t>
        </w:r>
      </w:hyperlink>
      <w:r>
        <w:rPr>
          <w:color w:val="0000FF"/>
        </w:rPr>
        <w:t> </w:t>
      </w:r>
      <w:r>
        <w:rPr/>
        <w:t>Komunën Qendër Zhupë: </w:t>
      </w:r>
      <w:hyperlink r:id="rId8">
        <w:r>
          <w:rPr>
            <w:color w:val="0000FF"/>
            <w:u w:val="single" w:color="0000FF"/>
          </w:rPr>
          <w:t>www.merkezjupa.gov.mk</w:t>
        </w:r>
      </w:hyperlink>
    </w:p>
    <w:p>
      <w:pPr>
        <w:pStyle w:val="Heading1"/>
        <w:spacing w:before="120"/>
        <w:ind w:right="204"/>
      </w:pPr>
      <w:r>
        <w:rPr/>
        <w:t>Version i shtypur i Planit për menaxhim me mjedisin jetësor është në dispozicion në lokacionet që vijojnë:</w:t>
      </w:r>
    </w:p>
    <w:p>
      <w:pPr>
        <w:pStyle w:val="ListParagraph"/>
        <w:numPr>
          <w:ilvl w:val="0"/>
          <w:numId w:val="1"/>
        </w:numPr>
        <w:tabs>
          <w:tab w:pos="1288" w:val="left" w:leader="none"/>
        </w:tabs>
        <w:spacing w:line="267" w:lineRule="exact" w:before="0" w:after="0"/>
        <w:ind w:left="1288" w:right="0" w:hanging="361"/>
        <w:jc w:val="left"/>
        <w:rPr>
          <w:sz w:val="22"/>
        </w:rPr>
      </w:pPr>
      <w:r>
        <w:rPr>
          <w:sz w:val="22"/>
        </w:rPr>
        <w:t>Njësia për realizimin e projektit</w:t>
      </w:r>
      <w:r>
        <w:rPr>
          <w:spacing w:val="46"/>
          <w:sz w:val="22"/>
        </w:rPr>
        <w:t> </w:t>
      </w:r>
      <w:r>
        <w:rPr>
          <w:sz w:val="22"/>
        </w:rPr>
        <w:t>(NjRP)</w:t>
      </w:r>
    </w:p>
    <w:p>
      <w:pPr>
        <w:pStyle w:val="BodyText"/>
        <w:ind w:left="1287" w:right="3751"/>
      </w:pPr>
      <w:r>
        <w:rPr/>
        <w:t>Projekti për konkurencë lokale dhe rajonale (PKLR) Adresa: Rr. Gjuro Gjakoviq nr. 60/1, Shkup Telefoni: 02 32 53 818</w:t>
      </w:r>
    </w:p>
    <w:p>
      <w:pPr>
        <w:pStyle w:val="BodyText"/>
        <w:spacing w:before="1"/>
        <w:ind w:left="1287" w:right="3986"/>
      </w:pPr>
      <w:r>
        <w:rPr/>
        <w:t>Ekspert për mjedisin jetësor: Ljubomir Petkovski</w:t>
      </w:r>
      <w:hyperlink r:id="rId9">
        <w:r>
          <w:rPr/>
          <w:t> Posta-e:ljubomir.petkovski@lrcp.org.mk</w:t>
        </w:r>
      </w:hyperlink>
    </w:p>
    <w:p>
      <w:pPr>
        <w:pStyle w:val="BodyText"/>
      </w:pPr>
    </w:p>
    <w:p>
      <w:pPr>
        <w:pStyle w:val="ListParagraph"/>
        <w:numPr>
          <w:ilvl w:val="0"/>
          <w:numId w:val="1"/>
        </w:numPr>
        <w:tabs>
          <w:tab w:pos="1288" w:val="left" w:leader="none"/>
        </w:tabs>
        <w:spacing w:line="240" w:lineRule="auto" w:before="0" w:after="0"/>
        <w:ind w:left="1288" w:right="0" w:hanging="361"/>
        <w:jc w:val="left"/>
        <w:rPr>
          <w:sz w:val="22"/>
        </w:rPr>
      </w:pPr>
      <w:r>
        <w:rPr>
          <w:sz w:val="22"/>
        </w:rPr>
        <w:t>Komuna Qendër</w:t>
      </w:r>
      <w:r>
        <w:rPr>
          <w:spacing w:val="-1"/>
          <w:sz w:val="22"/>
        </w:rPr>
        <w:t> </w:t>
      </w:r>
      <w:r>
        <w:rPr>
          <w:sz w:val="22"/>
        </w:rPr>
        <w:t>Zhupë</w:t>
      </w:r>
    </w:p>
    <w:p>
      <w:pPr>
        <w:pStyle w:val="BodyText"/>
        <w:spacing w:line="237" w:lineRule="auto" w:before="3"/>
        <w:ind w:left="940" w:right="4039" w:firstLine="348"/>
      </w:pPr>
      <w:r>
        <w:rPr/>
        <w:t>Adresa</w:t>
      </w:r>
      <w:r>
        <w:rPr>
          <w:b/>
        </w:rPr>
        <w:t>: </w:t>
      </w:r>
      <w:r>
        <w:rPr/>
        <w:t>1258 f. Papranik i madh, Qendër Zhupë Telefoni: 046.840.239</w:t>
      </w:r>
    </w:p>
    <w:p>
      <w:pPr>
        <w:pStyle w:val="BodyText"/>
        <w:spacing w:before="1"/>
        <w:ind w:left="1287" w:right="5186" w:hanging="348"/>
      </w:pPr>
      <w:r>
        <w:rPr/>
        <w:t>Personi përgjegjës : Arijan Ibraim </w:t>
      </w:r>
      <w:hyperlink r:id="rId10">
        <w:r>
          <w:rPr/>
          <w:t>Posta-e:</w:t>
        </w:r>
        <w:r>
          <w:rPr>
            <w:color w:val="0000FF"/>
            <w:u w:val="single" w:color="0000FF"/>
          </w:rPr>
          <w:t>merkezjupa@hotmail.com</w:t>
        </w:r>
      </w:hyperlink>
    </w:p>
    <w:p>
      <w:pPr>
        <w:pStyle w:val="BodyText"/>
        <w:spacing w:before="4"/>
        <w:rPr>
          <w:sz w:val="20"/>
        </w:rPr>
      </w:pPr>
      <w:r>
        <w:rPr/>
        <w:pict>
          <v:shape style="position:absolute;margin-left:70.559998pt;margin-top:13.639363pt;width:459.5pt;height:78.850pt;mso-position-horizontal-relative:page;mso-position-vertical-relative:paragraph;z-index:-251656192;mso-wrap-distance-left:0;mso-wrap-distance-right:0" type="#_x0000_t202" filled="true" fillcolor="#daedf2" stroked="false">
            <v:textbox inset="0,0,0,0">
              <w:txbxContent>
                <w:p>
                  <w:pPr>
                    <w:spacing w:line="240" w:lineRule="auto" w:before="0"/>
                    <w:ind w:left="28" w:right="0" w:firstLine="588"/>
                    <w:jc w:val="left"/>
                    <w:rPr>
                      <w:b/>
                      <w:sz w:val="22"/>
                    </w:rPr>
                  </w:pPr>
                  <w:r>
                    <w:rPr>
                      <w:b/>
                      <w:sz w:val="22"/>
                    </w:rPr>
                    <w:t>Ju lutemi në rast se keni ndonjë koment/sugjerim ose plotësim për masat e propozuara nga Lista për verifikim të Planit për menaxhim me ambientinjetësor, të njëjtat tiparaqitni tek personat përgjegjës të kësaj liste në një periudhë kohore prej 14 ditësh pas ditës së publikimit të Listës për verfikim të Planit përmenaxhim me ambientin jetësor</w:t>
                  </w:r>
                </w:p>
                <w:p>
                  <w:pPr>
                    <w:tabs>
                      <w:tab w:pos="6382" w:val="left" w:leader="none"/>
                    </w:tabs>
                    <w:spacing w:before="0"/>
                    <w:ind w:left="3266" w:right="0" w:firstLine="0"/>
                    <w:jc w:val="left"/>
                    <w:rPr>
                      <w:rFonts w:ascii="Times New Roman"/>
                      <w:b/>
                      <w:sz w:val="22"/>
                    </w:rPr>
                  </w:pPr>
                  <w:r>
                    <w:rPr>
                      <w:rFonts w:ascii="Times New Roman"/>
                      <w:b/>
                      <w:sz w:val="22"/>
                    </w:rPr>
                    <w:t>(Data</w:t>
                  </w:r>
                  <w:r>
                    <w:rPr>
                      <w:rFonts w:ascii="Times New Roman"/>
                      <w:b/>
                      <w:spacing w:val="-1"/>
                      <w:sz w:val="22"/>
                    </w:rPr>
                    <w:t> </w:t>
                  </w:r>
                  <w:r>
                    <w:rPr>
                      <w:rFonts w:ascii="Times New Roman"/>
                      <w:b/>
                      <w:sz w:val="22"/>
                    </w:rPr>
                    <w:t>e</w:t>
                  </w:r>
                  <w:r>
                    <w:rPr>
                      <w:rFonts w:ascii="Times New Roman"/>
                      <w:b/>
                      <w:spacing w:val="-2"/>
                      <w:sz w:val="22"/>
                    </w:rPr>
                    <w:t> </w:t>
                  </w:r>
                  <w:r>
                    <w:rPr>
                      <w:rFonts w:ascii="Times New Roman"/>
                      <w:b/>
                      <w:sz w:val="22"/>
                    </w:rPr>
                    <w:t>publikimit:</w:t>
                  </w:r>
                  <w:r>
                    <w:rPr>
                      <w:rFonts w:ascii="Times New Roman"/>
                      <w:b/>
                      <w:sz w:val="22"/>
                      <w:u w:val="single"/>
                    </w:rPr>
                    <w:t> </w:t>
                    <w:tab/>
                  </w:r>
                  <w:r>
                    <w:rPr>
                      <w:rFonts w:ascii="Times New Roman"/>
                      <w:b/>
                      <w:sz w:val="22"/>
                    </w:rPr>
                    <w:t>).</w:t>
                  </w:r>
                </w:p>
              </w:txbxContent>
            </v:textbox>
            <v:fill type="solid"/>
            <w10:wrap type="topAndBottom"/>
          </v:shape>
        </w:pict>
      </w:r>
    </w:p>
    <w:p>
      <w:pPr>
        <w:spacing w:after="0"/>
        <w:rPr>
          <w:sz w:val="20"/>
        </w:rPr>
        <w:sectPr>
          <w:footerReference w:type="default" r:id="rId5"/>
          <w:type w:val="continuous"/>
          <w:pgSz w:w="12240" w:h="15840"/>
          <w:pgMar w:footer="654" w:top="1500" w:bottom="840" w:left="1220" w:right="1440"/>
          <w:pgNumType w:start="1"/>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
        <w:gridCol w:w="4479"/>
        <w:gridCol w:w="4709"/>
        <w:gridCol w:w="79"/>
      </w:tblGrid>
      <w:tr>
        <w:trPr>
          <w:trHeight w:val="1864" w:hRule="atLeast"/>
        </w:trPr>
        <w:tc>
          <w:tcPr>
            <w:tcW w:w="80" w:type="dxa"/>
            <w:tcBorders>
              <w:right w:val="nil"/>
            </w:tcBorders>
            <w:shd w:val="clear" w:color="auto" w:fill="E4DFEB"/>
          </w:tcPr>
          <w:p>
            <w:pPr>
              <w:pStyle w:val="TableParagraph"/>
              <w:rPr>
                <w:rFonts w:ascii="Times New Roman"/>
                <w:sz w:val="22"/>
              </w:rPr>
            </w:pPr>
          </w:p>
        </w:tc>
        <w:tc>
          <w:tcPr>
            <w:tcW w:w="9188" w:type="dxa"/>
            <w:gridSpan w:val="2"/>
            <w:tcBorders>
              <w:left w:val="nil"/>
              <w:right w:val="nil"/>
            </w:tcBorders>
            <w:shd w:val="clear" w:color="auto" w:fill="E4DFEB"/>
          </w:tcPr>
          <w:p>
            <w:pPr>
              <w:pStyle w:val="TableParagraph"/>
              <w:ind w:left="32" w:right="19" w:firstLine="588"/>
              <w:jc w:val="both"/>
              <w:rPr>
                <w:b/>
                <w:sz w:val="22"/>
              </w:rPr>
            </w:pPr>
            <w:r>
              <w:rPr>
                <w:b/>
                <w:sz w:val="22"/>
              </w:rPr>
              <w:t>Ju lutemi që komentet Tuaja për përmirësim të Listës për verifikimtë Planit për menaxhim me ambientin jetësor për projektin </w:t>
            </w:r>
            <w:r>
              <w:rPr>
                <w:sz w:val="22"/>
              </w:rPr>
              <w:t>“Rikonstruim dhe mbindërtim i shtegut për këmbësorë - çiklizëm dhe vendpushim” </w:t>
            </w:r>
            <w:r>
              <w:rPr>
                <w:b/>
                <w:sz w:val="22"/>
              </w:rPr>
              <w:t>ti paraqisni apo dorëzoni në adresat e dhëna elektronike ose në zyrat komunës Qendër Zhupë ose/edhe Projektit për konkurencë locale dhe</w:t>
            </w:r>
            <w:r>
              <w:rPr>
                <w:b/>
                <w:spacing w:val="-8"/>
                <w:sz w:val="22"/>
              </w:rPr>
              <w:t> </w:t>
            </w:r>
            <w:r>
              <w:rPr>
                <w:b/>
                <w:sz w:val="22"/>
              </w:rPr>
              <w:t>rajonale.</w:t>
            </w:r>
          </w:p>
          <w:p>
            <w:pPr>
              <w:pStyle w:val="TableParagraph"/>
              <w:spacing w:before="5"/>
              <w:rPr>
                <w:sz w:val="21"/>
              </w:rPr>
            </w:pPr>
          </w:p>
          <w:p>
            <w:pPr>
              <w:pStyle w:val="TableParagraph"/>
              <w:spacing w:before="1"/>
              <w:ind w:left="620"/>
              <w:rPr>
                <w:rFonts w:ascii="Times New Roman" w:hAnsi="Times New Roman"/>
                <w:b/>
                <w:sz w:val="22"/>
              </w:rPr>
            </w:pPr>
            <w:r>
              <w:rPr>
                <w:rFonts w:ascii="Times New Roman" w:hAnsi="Times New Roman"/>
                <w:b/>
                <w:sz w:val="22"/>
              </w:rPr>
              <w:t>Paraprakisht ju falenderojmë.</w:t>
            </w:r>
          </w:p>
        </w:tc>
        <w:tc>
          <w:tcPr>
            <w:tcW w:w="79" w:type="dxa"/>
            <w:tcBorders>
              <w:left w:val="nil"/>
            </w:tcBorders>
            <w:shd w:val="clear" w:color="auto" w:fill="E4DFEB"/>
          </w:tcPr>
          <w:p>
            <w:pPr>
              <w:pStyle w:val="TableParagraph"/>
              <w:rPr>
                <w:rFonts w:ascii="Times New Roman"/>
                <w:sz w:val="22"/>
              </w:rPr>
            </w:pPr>
          </w:p>
        </w:tc>
      </w:tr>
      <w:tr>
        <w:trPr>
          <w:trHeight w:val="1343" w:hRule="atLeast"/>
        </w:trPr>
        <w:tc>
          <w:tcPr>
            <w:tcW w:w="9347" w:type="dxa"/>
            <w:gridSpan w:val="4"/>
          </w:tcPr>
          <w:p>
            <w:pPr>
              <w:pStyle w:val="TableParagraph"/>
              <w:rPr>
                <w:sz w:val="22"/>
              </w:rPr>
            </w:pPr>
          </w:p>
          <w:p>
            <w:pPr>
              <w:pStyle w:val="TableParagraph"/>
              <w:spacing w:before="3"/>
              <w:rPr>
                <w:sz w:val="21"/>
              </w:rPr>
            </w:pPr>
          </w:p>
          <w:p>
            <w:pPr>
              <w:pStyle w:val="TableParagraph"/>
              <w:tabs>
                <w:tab w:pos="4982" w:val="left" w:leader="none"/>
              </w:tabs>
              <w:ind w:left="107"/>
              <w:rPr>
                <w:b/>
                <w:sz w:val="22"/>
              </w:rPr>
            </w:pPr>
            <w:r>
              <w:rPr>
                <w:b/>
                <w:sz w:val="22"/>
              </w:rPr>
              <w:t>Numri referent</w:t>
            </w:r>
            <w:r>
              <w:rPr>
                <w:b/>
                <w:spacing w:val="-5"/>
                <w:sz w:val="22"/>
              </w:rPr>
              <w:t> </w:t>
            </w:r>
            <w:r>
              <w:rPr>
                <w:b/>
                <w:sz w:val="22"/>
              </w:rPr>
              <w:t>:</w:t>
            </w:r>
            <w:r>
              <w:rPr>
                <w:b/>
                <w:spacing w:val="-1"/>
                <w:sz w:val="22"/>
              </w:rPr>
              <w:t> </w:t>
            </w:r>
            <w:r>
              <w:rPr>
                <w:b/>
                <w:w w:val="100"/>
                <w:sz w:val="22"/>
                <w:u w:val="thick"/>
              </w:rPr>
              <w:t> </w:t>
            </w:r>
            <w:r>
              <w:rPr>
                <w:b/>
                <w:sz w:val="22"/>
                <w:u w:val="thick"/>
              </w:rPr>
              <w:tab/>
            </w:r>
          </w:p>
          <w:p>
            <w:pPr>
              <w:pStyle w:val="TableParagraph"/>
              <w:ind w:left="107"/>
              <w:rPr>
                <w:sz w:val="22"/>
              </w:rPr>
            </w:pPr>
            <w:r>
              <w:rPr>
                <w:sz w:val="22"/>
              </w:rPr>
              <w:t>(plotësohet nga ana e projektit)</w:t>
            </w:r>
          </w:p>
        </w:tc>
      </w:tr>
      <w:tr>
        <w:trPr>
          <w:trHeight w:val="1194" w:hRule="atLeast"/>
        </w:trPr>
        <w:tc>
          <w:tcPr>
            <w:tcW w:w="4559" w:type="dxa"/>
            <w:gridSpan w:val="2"/>
            <w:shd w:val="clear" w:color="auto" w:fill="F2F2F2"/>
          </w:tcPr>
          <w:p>
            <w:pPr>
              <w:pStyle w:val="TableParagraph"/>
              <w:spacing w:line="259" w:lineRule="exact"/>
              <w:ind w:left="107"/>
              <w:rPr>
                <w:b/>
                <w:sz w:val="22"/>
              </w:rPr>
            </w:pPr>
            <w:r>
              <w:rPr>
                <w:b/>
                <w:sz w:val="22"/>
              </w:rPr>
              <w:t>Nënshkrimi</w:t>
            </w:r>
          </w:p>
        </w:tc>
        <w:tc>
          <w:tcPr>
            <w:tcW w:w="4788" w:type="dxa"/>
            <w:gridSpan w:val="2"/>
            <w:shd w:val="clear" w:color="auto" w:fill="F2F2F2"/>
          </w:tcPr>
          <w:p>
            <w:pPr>
              <w:pStyle w:val="TableParagraph"/>
              <w:spacing w:line="259" w:lineRule="exact"/>
              <w:ind w:left="108"/>
              <w:rPr>
                <w:b/>
                <w:sz w:val="22"/>
              </w:rPr>
            </w:pPr>
            <w:r>
              <w:rPr>
                <w:b/>
                <w:sz w:val="22"/>
              </w:rPr>
              <w:t>Data</w:t>
            </w:r>
          </w:p>
        </w:tc>
      </w:tr>
    </w:tbl>
    <w:p>
      <w:pPr>
        <w:rPr>
          <w:sz w:val="2"/>
          <w:szCs w:val="2"/>
        </w:rPr>
      </w:pPr>
      <w:r>
        <w:rPr/>
        <w:pict>
          <v:line style="position:absolute;mso-position-horizontal-relative:page;mso-position-vertical-relative:page;z-index:-251777024" from="70.559998pt,260.579987pt" to="290.519993pt,260.579987pt" stroked="true" strokeweight="1.32pt" strokecolor="#000000">
            <v:stroke dashstyle="solid"/>
            <w10:wrap type="none"/>
          </v:line>
        </w:pict>
      </w:r>
      <w:r>
        <w:rPr/>
        <w:pict>
          <v:line style="position:absolute;mso-position-horizontal-relative:page;mso-position-vertical-relative:page;z-index:-251776000" from="298.559998pt,260.579987pt" to="530.039993pt,260.579987pt" stroked="true" strokeweight="1.32pt" strokecolor="#000000">
            <v:stroke dashstyle="solid"/>
            <w10:wrap type="none"/>
          </v:line>
        </w:pict>
      </w:r>
    </w:p>
    <w:sectPr>
      <w:pgSz w:w="12240" w:h="15840"/>
      <w:pgMar w:header="0" w:footer="654" w:top="1140" w:bottom="840" w:left="12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9980pt;margin-top:744.303467pt;width:9.550pt;height:13.15pt;mso-position-horizontal-relative:page;mso-position-vertical-relative:page;z-index:-251781120" type="#_x0000_t202" filled="false" stroked="false">
          <v:textbox inset="0,0,0,0">
            <w:txbxContent>
              <w:p>
                <w:pPr>
                  <w:spacing w:before="12"/>
                  <w:ind w:left="4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88" w:hanging="360"/>
        <w:jc w:val="left"/>
      </w:pPr>
      <w:rPr>
        <w:rFonts w:hint="default" w:ascii="Calibri" w:hAnsi="Calibri" w:eastAsia="Calibri" w:cs="Calibri"/>
        <w:w w:val="100"/>
        <w:sz w:val="22"/>
        <w:szCs w:val="22"/>
        <w:lang w:val="sq-AL" w:eastAsia="sq-AL" w:bidi="sq-AL"/>
      </w:rPr>
    </w:lvl>
    <w:lvl w:ilvl="1">
      <w:start w:val="0"/>
      <w:numFmt w:val="bullet"/>
      <w:lvlText w:val="•"/>
      <w:lvlJc w:val="left"/>
      <w:pPr>
        <w:ind w:left="2110" w:hanging="360"/>
      </w:pPr>
      <w:rPr>
        <w:rFonts w:hint="default"/>
        <w:lang w:val="sq-AL" w:eastAsia="sq-AL" w:bidi="sq-AL"/>
      </w:rPr>
    </w:lvl>
    <w:lvl w:ilvl="2">
      <w:start w:val="0"/>
      <w:numFmt w:val="bullet"/>
      <w:lvlText w:val="•"/>
      <w:lvlJc w:val="left"/>
      <w:pPr>
        <w:ind w:left="2940" w:hanging="360"/>
      </w:pPr>
      <w:rPr>
        <w:rFonts w:hint="default"/>
        <w:lang w:val="sq-AL" w:eastAsia="sq-AL" w:bidi="sq-AL"/>
      </w:rPr>
    </w:lvl>
    <w:lvl w:ilvl="3">
      <w:start w:val="0"/>
      <w:numFmt w:val="bullet"/>
      <w:lvlText w:val="•"/>
      <w:lvlJc w:val="left"/>
      <w:pPr>
        <w:ind w:left="3770" w:hanging="360"/>
      </w:pPr>
      <w:rPr>
        <w:rFonts w:hint="default"/>
        <w:lang w:val="sq-AL" w:eastAsia="sq-AL" w:bidi="sq-AL"/>
      </w:rPr>
    </w:lvl>
    <w:lvl w:ilvl="4">
      <w:start w:val="0"/>
      <w:numFmt w:val="bullet"/>
      <w:lvlText w:val="•"/>
      <w:lvlJc w:val="left"/>
      <w:pPr>
        <w:ind w:left="4600" w:hanging="360"/>
      </w:pPr>
      <w:rPr>
        <w:rFonts w:hint="default"/>
        <w:lang w:val="sq-AL" w:eastAsia="sq-AL" w:bidi="sq-AL"/>
      </w:rPr>
    </w:lvl>
    <w:lvl w:ilvl="5">
      <w:start w:val="0"/>
      <w:numFmt w:val="bullet"/>
      <w:lvlText w:val="•"/>
      <w:lvlJc w:val="left"/>
      <w:pPr>
        <w:ind w:left="5430" w:hanging="360"/>
      </w:pPr>
      <w:rPr>
        <w:rFonts w:hint="default"/>
        <w:lang w:val="sq-AL" w:eastAsia="sq-AL" w:bidi="sq-AL"/>
      </w:rPr>
    </w:lvl>
    <w:lvl w:ilvl="6">
      <w:start w:val="0"/>
      <w:numFmt w:val="bullet"/>
      <w:lvlText w:val="•"/>
      <w:lvlJc w:val="left"/>
      <w:pPr>
        <w:ind w:left="6260" w:hanging="360"/>
      </w:pPr>
      <w:rPr>
        <w:rFonts w:hint="default"/>
        <w:lang w:val="sq-AL" w:eastAsia="sq-AL" w:bidi="sq-AL"/>
      </w:rPr>
    </w:lvl>
    <w:lvl w:ilvl="7">
      <w:start w:val="0"/>
      <w:numFmt w:val="bullet"/>
      <w:lvlText w:val="•"/>
      <w:lvlJc w:val="left"/>
      <w:pPr>
        <w:ind w:left="7090" w:hanging="360"/>
      </w:pPr>
      <w:rPr>
        <w:rFonts w:hint="default"/>
        <w:lang w:val="sq-AL" w:eastAsia="sq-AL" w:bidi="sq-AL"/>
      </w:rPr>
    </w:lvl>
    <w:lvl w:ilvl="8">
      <w:start w:val="0"/>
      <w:numFmt w:val="bullet"/>
      <w:lvlText w:val="•"/>
      <w:lvlJc w:val="left"/>
      <w:pPr>
        <w:ind w:left="7920" w:hanging="360"/>
      </w:pPr>
      <w:rPr>
        <w:rFonts w:hint="default"/>
        <w:lang w:val="sq-AL" w:eastAsia="sq-AL" w:bidi="sq-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q-AL" w:eastAsia="sq-AL" w:bidi="sq-AL"/>
    </w:rPr>
  </w:style>
  <w:style w:styleId="BodyText" w:type="paragraph">
    <w:name w:val="Body Text"/>
    <w:basedOn w:val="Normal"/>
    <w:uiPriority w:val="1"/>
    <w:qFormat/>
    <w:pPr/>
    <w:rPr>
      <w:rFonts w:ascii="Calibri" w:hAnsi="Calibri" w:eastAsia="Calibri" w:cs="Calibri"/>
      <w:sz w:val="22"/>
      <w:szCs w:val="22"/>
      <w:lang w:val="sq-AL" w:eastAsia="sq-AL" w:bidi="sq-AL"/>
    </w:rPr>
  </w:style>
  <w:style w:styleId="Heading1" w:type="paragraph">
    <w:name w:val="Heading 1"/>
    <w:basedOn w:val="Normal"/>
    <w:uiPriority w:val="1"/>
    <w:qFormat/>
    <w:pPr>
      <w:ind w:left="220"/>
      <w:outlineLvl w:val="1"/>
    </w:pPr>
    <w:rPr>
      <w:rFonts w:ascii="Calibri" w:hAnsi="Calibri" w:eastAsia="Calibri" w:cs="Calibri"/>
      <w:b/>
      <w:bCs/>
      <w:sz w:val="22"/>
      <w:szCs w:val="22"/>
      <w:lang w:val="sq-AL" w:eastAsia="sq-AL" w:bidi="sq-AL"/>
    </w:rPr>
  </w:style>
  <w:style w:styleId="ListParagraph" w:type="paragraph">
    <w:name w:val="List Paragraph"/>
    <w:basedOn w:val="Normal"/>
    <w:uiPriority w:val="1"/>
    <w:qFormat/>
    <w:pPr>
      <w:ind w:left="1288" w:hanging="361"/>
    </w:pPr>
    <w:rPr>
      <w:rFonts w:ascii="Calibri" w:hAnsi="Calibri" w:eastAsia="Calibri" w:cs="Calibri"/>
      <w:lang w:val="sq-AL" w:eastAsia="sq-AL" w:bidi="sq-AL"/>
    </w:rPr>
  </w:style>
  <w:style w:styleId="TableParagraph" w:type="paragraph">
    <w:name w:val="Table Paragraph"/>
    <w:basedOn w:val="Normal"/>
    <w:uiPriority w:val="1"/>
    <w:qFormat/>
    <w:pPr/>
    <w:rPr>
      <w:rFonts w:ascii="Calibri" w:hAnsi="Calibri" w:eastAsia="Calibri" w:cs="Calibri"/>
      <w:lang w:val="sq-AL" w:eastAsia="sq-AL" w:bidi="sq-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www.tourismmacedonia.gov.mk/" TargetMode="External"/><Relationship Id="rId8" Type="http://schemas.openxmlformats.org/officeDocument/2006/relationships/hyperlink" Target="http://www.merkezjupa.gov.mk/" TargetMode="External"/><Relationship Id="rId9" Type="http://schemas.openxmlformats.org/officeDocument/2006/relationships/hyperlink" Target="mailto:ljubomir.petkovski@lrcp.org.mk" TargetMode="External"/><Relationship Id="rId10" Type="http://schemas.openxmlformats.org/officeDocument/2006/relationships/hyperlink" Target="mailto:merkezjupa@hotmail.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dcterms:created xsi:type="dcterms:W3CDTF">2019-04-12T09:53:07Z</dcterms:created>
  <dcterms:modified xsi:type="dcterms:W3CDTF">2019-04-12T09:53:07Z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Nitro Pro 8  (8. 0. 9. 8)</vt:lpwstr>
  </property>
  <property fmtid="{D5CDD505-2E9C-101B-9397-08002B2CF9AE}" pid="4" name="LastSaved">
    <vt:filetime>2019-04-12T00:00:00Z</vt:filetime>
  </property>
</Properties>
</file>